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2"/>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17</w:t>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404816</w:t>
      </w:r>
    </w:p>
    <w:p>
      <w:pPr>
        <w:tabs>
          <w:tab w:val="center" w:pos="4536"/>
          <w:tab w:val="right" w:pos="8280"/>
          <w:tab w:val="right" w:pos="9639"/>
        </w:tabs>
        <w:ind w:right="2"/>
        <w:rPr>
          <w:rFonts w:hint="eastAsia" w:ascii="Arial" w:hAnsi="Arial" w:eastAsia="宋体" w:cs="Arial"/>
          <w:b/>
          <w:bCs/>
          <w:sz w:val="28"/>
          <w:lang w:val="en-US" w:eastAsia="zh-CN"/>
        </w:rPr>
      </w:pPr>
      <w:r>
        <w:rPr>
          <w:rFonts w:ascii="Arial" w:hAnsi="Arial" w:eastAsia="Batang" w:cs="Arial"/>
          <w:b/>
          <w:bCs/>
          <w:sz w:val="28"/>
          <w:szCs w:val="28"/>
          <w:lang w:eastAsia="en-US"/>
        </w:rPr>
        <w:t>Fukuoka City,</w:t>
      </w:r>
      <w:r>
        <w:rPr>
          <w:rFonts w:hint="eastAsia" w:ascii="Arial" w:hAnsi="Arial" w:eastAsia="宋体" w:cs="Arial"/>
          <w:b/>
          <w:bCs/>
          <w:sz w:val="28"/>
          <w:szCs w:val="28"/>
          <w:lang w:val="en-US" w:eastAsia="zh-CN"/>
        </w:rPr>
        <w:t xml:space="preserve"> </w:t>
      </w:r>
      <w:bookmarkStart w:id="12" w:name="_GoBack"/>
      <w:bookmarkEnd w:id="12"/>
      <w:r>
        <w:rPr>
          <w:rFonts w:hint="eastAsia" w:ascii="Arial" w:hAnsi="Arial" w:cs="Arial"/>
          <w:b/>
          <w:bCs/>
          <w:sz w:val="28"/>
          <w:lang w:val="en-US" w:eastAsia="zh-CN"/>
        </w:rPr>
        <w:t>Fukuoka, Japan, May</w:t>
      </w:r>
      <w:r>
        <w:rPr>
          <w:rFonts w:ascii="Arial" w:hAnsi="Arial" w:eastAsia="MS Mincho" w:cs="Arial"/>
          <w:b/>
          <w:bCs/>
          <w:sz w:val="28"/>
          <w:lang w:eastAsia="ja-JP"/>
        </w:rPr>
        <w:t xml:space="preserve"> </w:t>
      </w:r>
      <w:r>
        <w:rPr>
          <w:rFonts w:hint="eastAsia" w:ascii="Arial" w:hAnsi="Arial" w:cs="Arial"/>
          <w:b/>
          <w:bCs/>
          <w:sz w:val="28"/>
          <w:lang w:val="en-US" w:eastAsia="zh-CN"/>
        </w:rPr>
        <w:t>20</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cs="Arial"/>
          <w:b/>
          <w:bCs/>
          <w:sz w:val="28"/>
          <w:lang w:val="en-US" w:eastAsia="zh-CN"/>
        </w:rPr>
        <w:t>24</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eastAsia="宋体" w:cs="Arial"/>
          <w:b/>
          <w:bCs/>
          <w:sz w:val="28"/>
          <w:lang w:val="en-US" w:eastAsia="zh-CN"/>
        </w:rPr>
        <w:t>4</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9.3.1</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eastAsia="宋体"/>
          <w:b/>
          <w:lang w:val="en-US" w:eastAsia="zh-CN"/>
        </w:rPr>
      </w:pPr>
      <w:r>
        <w:rPr>
          <w:b/>
        </w:rPr>
        <w:t>Title:</w:t>
      </w:r>
      <w:r>
        <w:rPr>
          <w:b/>
        </w:rPr>
        <w:tab/>
      </w:r>
      <w:bookmarkStart w:id="0" w:name="OLE_LINK9"/>
      <w:r>
        <w:rPr>
          <w:rFonts w:hint="eastAsia"/>
          <w:b/>
          <w:lang w:val="en-US" w:eastAsia="zh-CN"/>
        </w:rPr>
        <w:t>Discussion</w:t>
      </w:r>
      <w:r>
        <w:rPr>
          <w:rFonts w:hint="eastAsia"/>
          <w:b/>
        </w:rPr>
        <w:t xml:space="preserve"> o</w:t>
      </w:r>
      <w:r>
        <w:rPr>
          <w:rFonts w:hint="eastAsia"/>
          <w:b/>
          <w:lang w:val="en-US" w:eastAsia="zh-CN"/>
        </w:rPr>
        <w:t>n</w:t>
      </w:r>
      <w:r>
        <w:rPr>
          <w:rFonts w:hint="eastAsia"/>
          <w:b/>
        </w:rPr>
        <w:t xml:space="preserve"> </w:t>
      </w:r>
      <w:bookmarkEnd w:id="0"/>
      <w:r>
        <w:rPr>
          <w:rFonts w:hint="eastAsia"/>
          <w:b/>
          <w:lang w:val="en-US" w:eastAsia="zh-CN"/>
        </w:rPr>
        <w:t>SBFD operation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1" w:name="_Ref494215420"/>
    </w:p>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RAN#102</w:t>
      </w:r>
      <w:r>
        <w:rPr>
          <w:lang w:eastAsia="zh-CN"/>
        </w:rPr>
        <w:t xml:space="preserve"> meeting, </w:t>
      </w:r>
      <w:r>
        <w:rPr>
          <w:rFonts w:hint="eastAsia"/>
          <w:lang w:val="en-US" w:eastAsia="zh-CN"/>
        </w:rPr>
        <w:t>a new WID of duplex operation had been approved:</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keepLines w:val="0"/>
              <w:widowControl w:val="0"/>
              <w:numPr>
                <w:ilvl w:val="2"/>
                <w:numId w:val="0"/>
              </w:numPr>
              <w:suppressLineNumbers w:val="0"/>
              <w:spacing w:beforeAutospacing="0" w:afterAutospacing="0"/>
              <w:ind w:leftChars="0" w:right="0"/>
              <w:rPr>
                <w:rFonts w:hint="eastAsia"/>
                <w:color w:val="0000FF"/>
              </w:rPr>
            </w:pPr>
            <w:r>
              <w:rPr>
                <w:rFonts w:hint="eastAsia"/>
                <w:color w:val="0000FF"/>
              </w:rPr>
              <w:t>4.1</w:t>
            </w:r>
            <w:r>
              <w:rPr>
                <w:rFonts w:hint="eastAsia"/>
                <w:color w:val="0000FF"/>
              </w:rPr>
              <w:tab/>
            </w:r>
            <w:r>
              <w:rPr>
                <w:rFonts w:hint="eastAsia"/>
                <w:color w:val="0000FF"/>
              </w:rPr>
              <w:t>Objective of Core part WI</w:t>
            </w:r>
          </w:p>
          <w:p>
            <w:pPr>
              <w:keepNext w:val="0"/>
              <w:keepLines w:val="0"/>
              <w:widowControl w:val="0"/>
              <w:suppressLineNumbers w:val="0"/>
              <w:spacing w:before="0" w:beforeAutospacing="0" w:afterAutospacing="0"/>
              <w:ind w:left="0" w:right="-99"/>
              <w:jc w:val="left"/>
              <w:rPr>
                <w:rFonts w:hint="eastAsia"/>
                <w:bCs/>
                <w:lang w:eastAsia="ko-KR"/>
              </w:rPr>
            </w:pPr>
            <w:r>
              <w:rPr>
                <w:rFonts w:hint="eastAsia"/>
                <w:bCs/>
                <w:lang w:eastAsia="ko-KR"/>
              </w:rPr>
              <w:t>The objectives are as follows:</w:t>
            </w:r>
          </w:p>
          <w:p>
            <w:pPr>
              <w:keepNext w:val="0"/>
              <w:keepLines w:val="0"/>
              <w:widowControl w:val="0"/>
              <w:numPr>
                <w:ilvl w:val="0"/>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For subband non-overlapping full duplex (SBFD) operation at gNB side within a TDD carrier:</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Specify semi-static indication of time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Indication of time location of SBFD subbands in SIB is not precluded</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Specify semi-static indication of frequency domain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Indication of frequency domain location of SBFD subbands in SIB is not precluded</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eastAsia"/>
                <w:lang w:val="en-US" w:eastAsia="zh-CN"/>
              </w:rPr>
            </w:pPr>
            <w:r>
              <w:rPr>
                <w:rFonts w:hint="eastAsia"/>
                <w:lang w:val="en-US" w:eastAsia="zh-CN"/>
              </w:rPr>
              <w:t>...</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bookmarkStart w:id="2" w:name="_Hlk153407590"/>
            <w:r>
              <w:rPr>
                <w:rFonts w:hint="eastAsia" w:eastAsia="Malgun Gothic"/>
                <w:lang w:val="en-US" w:eastAsia="ko-KR"/>
              </w:rPr>
              <w:t>Specify UE transmission, reception and measurement behavior and procedures in SBFD symbols and/or non-SBFD symbols for SBFD aware UE [RAN1, RAN2]</w:t>
            </w:r>
          </w:p>
          <w:bookmarkEnd w:id="2"/>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 xml:space="preserve">Transmission and reception behaviours on SBFD subbands configured in DL and/or flexible symbol indicated by </w:t>
            </w:r>
            <w:r>
              <w:rPr>
                <w:rFonts w:hint="eastAsia" w:eastAsia="Malgun Gothic"/>
                <w:i/>
                <w:iCs/>
                <w:lang w:val="en-US" w:eastAsia="ko-KR"/>
              </w:rPr>
              <w:t>TDD-UL-DL-ConfigCommon</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UL transmissions within UL subband only</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DL receptions within DL subband(s) only, except for CLI measurement by the UE outside of the DL subbands</w:t>
            </w:r>
          </w:p>
          <w:p>
            <w:pPr>
              <w:keepNext w:val="0"/>
              <w:keepLines w:val="0"/>
              <w:widowControl w:val="0"/>
              <w:suppressLineNumbers w:val="0"/>
              <w:spacing w:before="0" w:beforeAutospacing="0" w:after="160" w:afterAutospacing="0" w:line="256" w:lineRule="auto"/>
              <w:ind w:left="2520" w:right="-99"/>
              <w:rPr>
                <w:rFonts w:hint="eastAsia" w:eastAsia="Malgun Gothic"/>
                <w:lang w:val="en-US" w:eastAsia="ko-KR"/>
              </w:rPr>
            </w:pPr>
            <w:r>
              <w:rPr>
                <w:rFonts w:hint="eastAsia" w:eastAsia="Malgun Gothic"/>
                <w:lang w:val="en-US" w:eastAsia="ko-KR"/>
              </w:rPr>
              <w:t xml:space="preserve">Note: </w:t>
            </w:r>
            <w:r>
              <w:rPr>
                <w:rFonts w:hint="eastAsia"/>
                <w:lang w:val="en-US" w:eastAsia="zh-CN"/>
              </w:rPr>
              <w:t>When flexible symbols are used, it is not expected that any legacy Uplink symbol is converted to Downlink/SBFD symbols</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Enhancement on resource allocation in frequency domain in SBFD symbols, including</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resource allocation in frequency domain for PDSCH/CSI-RS across two DL subbands in SBFD symbols</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handling of unaligned boundaries between SBFD subband(s) and RBG, CSI reporting subband, CSI-RS resource, PRG</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lang w:val="en-US" w:eastAsia="zh-CN"/>
              </w:rPr>
            </w:pPr>
          </w:p>
        </w:tc>
      </w:tr>
    </w:tbl>
    <w:p>
      <w:pPr>
        <w:widowControl w:val="0"/>
        <w:kinsoku w:val="0"/>
        <w:overflowPunct w:val="0"/>
        <w:adjustRightInd/>
        <w:snapToGrid/>
      </w:pPr>
    </w:p>
    <w:p>
      <w:pPr>
        <w:widowControl w:val="0"/>
        <w:kinsoku w:val="0"/>
        <w:overflowPunct w:val="0"/>
        <w:adjustRightInd/>
        <w:snapToGrid/>
      </w:pPr>
      <w:bookmarkStart w:id="3" w:name="OLE_LINK10"/>
      <w:bookmarkStart w:id="4" w:name="OLE_LINK1"/>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Enhancements on physical channels/signals and procedure across SBFD symbols and non-SBFD symbols in different slots, where each transmission/reception within a slot has either all SBFD or all non-SBFD symbols, including</w:t>
            </w:r>
          </w:p>
          <w:p>
            <w:pPr>
              <w:keepNext w:val="0"/>
              <w:keepLines w:val="0"/>
              <w:widowControl w:val="0"/>
              <w:numPr>
                <w:ilvl w:val="3"/>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resource allocation in frequency domain for transmission or reception in SBFD symbols and non-SBFD symbols with different available frequency resource in different slots</w:t>
            </w:r>
          </w:p>
          <w:p>
            <w:pPr>
              <w:keepNext w:val="0"/>
              <w:keepLines w:val="0"/>
              <w:widowControl w:val="0"/>
              <w:numPr>
                <w:ilvl w:val="3"/>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CSI report of which associated CSI-RS instances occur in both SBFD symbols and non-SBFD symbols in different slots</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Configurations for SRS, PUCCH and PUSCH on SBFD symbols and non-SBFD symbols, e.g., resources, frequency hopping parameters, UL power control parameters and/or beam/spatial relation</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Collision handling between DL reception in DL subband(s) and UL transmission in UL subband in a SBFD symbol</w:t>
            </w:r>
          </w:p>
          <w:p>
            <w:pPr>
              <w:keepNext w:val="0"/>
              <w:keepLines w:val="0"/>
              <w:widowControl w:val="0"/>
              <w:numPr>
                <w:ilvl w:val="1"/>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Followings are assumed based on TR 38.858</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SBFD at the gNB side</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Half duplex operation at the UE side</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FR1 and FR2-1</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SBFD operation Option 4, i.e., both time and frequency locations of subbands for SBFD operation are known to SBFD aware UEs</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Coexistence between non-SBFD aware UEs (including legacy UEs) and SBFD aware UEs in the cell operating SBFD at gNB side</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SBFD scheme within a single configured DL and UL BWP pair with aligned center frequencies</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One UL subband for SBFD operation in an SBFD symbol (excluding legacy UL symbol/slot) within a TDD carrier</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等线" w:cs="Times New Roman"/>
                <w:sz w:val="20"/>
                <w:szCs w:val="20"/>
                <w:lang w:val="en-US" w:eastAsia="zh-CN"/>
              </w:rPr>
              <w:t xml:space="preserve">Mechanisms for SBFD operation shall also consider the </w:t>
            </w:r>
            <w:r>
              <w:rPr>
                <w:rFonts w:hint="eastAsia" w:ascii="Times New Roman" w:hAnsi="Times New Roman" w:eastAsia="Malgun Gothic" w:cs="Times New Roman"/>
                <w:sz w:val="20"/>
                <w:szCs w:val="20"/>
                <w:lang w:val="en-US" w:eastAsia="ko-KR"/>
              </w:rPr>
              <w:t>adjacent channel coexistence between two operators</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lang w:val="en-US" w:eastAsia="zh-CN"/>
              </w:rPr>
            </w:pPr>
            <w:r>
              <w:rPr>
                <w:rFonts w:hint="eastAsia"/>
                <w:lang w:val="en-US" w:eastAsia="zh-CN"/>
              </w:rPr>
              <w:t>...</w:t>
            </w:r>
          </w:p>
        </w:tc>
      </w:tr>
    </w:tbl>
    <w:p>
      <w:pPr>
        <w:widowControl w:val="0"/>
        <w:kinsoku w:val="0"/>
        <w:overflowPunct w:val="0"/>
        <w:adjustRightInd/>
        <w:snapToGrid/>
      </w:pPr>
    </w:p>
    <w:p>
      <w:pPr>
        <w:widowControl w:val="0"/>
        <w:kinsoku w:val="0"/>
        <w:overflowPunct w:val="0"/>
        <w:adjustRightInd/>
        <w:snapToGrid/>
        <w:rPr>
          <w:rFonts w:hint="eastAsia"/>
          <w:bCs/>
          <w:lang w:val="en-US" w:eastAsia="zh-CN"/>
        </w:rPr>
      </w:pPr>
      <w:r>
        <w:t>In this contribution, we focus on</w:t>
      </w:r>
      <w:r>
        <w:rPr>
          <w:rFonts w:hint="eastAsia"/>
          <w:lang w:val="en-US" w:eastAsia="zh-CN"/>
        </w:rPr>
        <w:t xml:space="preserve"> the SBFD operation, including</w:t>
      </w:r>
      <w:r>
        <w:t xml:space="preserve"> </w:t>
      </w:r>
      <w:bookmarkEnd w:id="3"/>
      <w:r>
        <w:rPr>
          <w:rFonts w:hint="eastAsia"/>
          <w:lang w:val="en-US" w:eastAsia="zh-CN"/>
        </w:rPr>
        <w:t xml:space="preserve">the </w:t>
      </w:r>
      <w:r>
        <w:rPr>
          <w:rFonts w:eastAsia="Malgun Gothic"/>
          <w:lang w:val="en-US" w:eastAsia="ko-KR"/>
        </w:rPr>
        <w:t xml:space="preserve">semi-static indication of time </w:t>
      </w:r>
      <w:r>
        <w:rPr>
          <w:rFonts w:hint="eastAsia" w:eastAsia="宋体"/>
          <w:lang w:val="en-US" w:eastAsia="zh-CN"/>
        </w:rPr>
        <w:t xml:space="preserve">and frequency </w:t>
      </w:r>
      <w:r>
        <w:rPr>
          <w:rFonts w:eastAsia="Malgun Gothic"/>
          <w:lang w:val="en-US" w:eastAsia="ko-KR"/>
        </w:rPr>
        <w:t>location of SBFD subbands to UEs</w:t>
      </w:r>
      <w:r>
        <w:rPr>
          <w:rFonts w:hint="eastAsia" w:eastAsia="宋体"/>
          <w:lang w:val="en-US" w:eastAsia="zh-CN"/>
        </w:rPr>
        <w:t>, and the Tx/Rx/measurement procedures</w:t>
      </w:r>
      <w:r>
        <w:rPr>
          <w:rFonts w:hint="eastAsia"/>
          <w:bCs/>
          <w:lang w:val="en-US" w:eastAsia="zh-CN"/>
        </w:rPr>
        <w:t>.</w:t>
      </w:r>
      <w:bookmarkEnd w:id="4"/>
    </w:p>
    <w:p>
      <w:pPr>
        <w:widowControl w:val="0"/>
        <w:kinsoku w:val="0"/>
        <w:overflowPunct w:val="0"/>
        <w:adjustRightInd/>
        <w:snapToGrid/>
        <w:rPr>
          <w:rFonts w:hint="eastAsia"/>
          <w:bCs/>
          <w:lang w:val="en-US" w:eastAsia="zh-CN"/>
        </w:rPr>
      </w:pPr>
    </w:p>
    <w:p>
      <w:pPr>
        <w:pStyle w:val="2"/>
        <w:rPr>
          <w:rFonts w:hint="eastAsia"/>
          <w:lang w:val="en-US" w:eastAsia="zh-CN"/>
        </w:rPr>
      </w:pPr>
      <w:r>
        <w:rPr>
          <w:lang w:eastAsia="zh-CN"/>
        </w:rPr>
        <w:t>Discussion</w:t>
      </w:r>
    </w:p>
    <w:p>
      <w:pPr>
        <w:pStyle w:val="3"/>
        <w:bidi w:val="0"/>
        <w:ind w:left="431" w:leftChars="0" w:hanging="431" w:firstLineChars="0"/>
        <w:rPr>
          <w:rFonts w:hint="default"/>
          <w:lang w:val="en-US" w:eastAsia="zh-CN"/>
        </w:rPr>
      </w:pPr>
      <w:r>
        <w:rPr>
          <w:rFonts w:hint="eastAsia"/>
          <w:lang w:val="en-US" w:eastAsia="zh-CN"/>
        </w:rPr>
        <w:t>Semi-static indication of SBFD subbands</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In RAN1#116 meeting, the following agreement was achieved [2].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ind w:left="0" w:right="0"/>
              <w:jc w:val="left"/>
              <w:rPr>
                <w:rFonts w:hint="eastAsia" w:ascii="Times New Roman" w:hAnsi="Times New Roman" w:eastAsia="Malgun Gothic" w:cs="Times New Roman"/>
                <w:bCs/>
                <w:sz w:val="22"/>
                <w:szCs w:val="22"/>
                <w:highlight w:val="green"/>
                <w:lang w:val="en-GB" w:eastAsia="zh-CN"/>
              </w:rPr>
            </w:pPr>
            <w:r>
              <w:rPr>
                <w:rFonts w:hint="eastAsia" w:ascii="Times New Roman" w:hAnsi="Times New Roman" w:eastAsia="Malgun Gothic" w:cs="Times New Roman"/>
                <w:bCs/>
                <w:sz w:val="22"/>
                <w:szCs w:val="22"/>
                <w:highlight w:val="green"/>
                <w:lang w:val="en-GB" w:eastAsia="zh-CN"/>
              </w:rPr>
              <w:t>Agreement</w:t>
            </w:r>
          </w:p>
          <w:p>
            <w:pPr>
              <w:keepNext w:val="0"/>
              <w:keepLines w:val="0"/>
              <w:widowControl w:val="0"/>
              <w:suppressLineNumbers w:val="0"/>
              <w:tabs>
                <w:tab w:val="left" w:pos="0"/>
              </w:tabs>
              <w:autoSpaceDE/>
              <w:autoSpaceDN/>
              <w:adjustRightInd/>
              <w:snapToGrid/>
              <w:spacing w:before="0" w:beforeAutospacing="0" w:after="0" w:afterAutospacing="0"/>
              <w:ind w:left="0" w:right="0"/>
              <w:jc w:val="left"/>
              <w:rPr>
                <w:rFonts w:hint="eastAsia" w:ascii="Times New Roman" w:hAnsi="Times New Roman" w:eastAsia="Malgun Gothic" w:cs="Times New Roman"/>
                <w:sz w:val="22"/>
                <w:szCs w:val="22"/>
                <w:lang w:val="en-GB" w:eastAsia="zh-CN"/>
              </w:rPr>
            </w:pPr>
            <w:r>
              <w:rPr>
                <w:rFonts w:hint="eastAsia" w:ascii="Times New Roman" w:hAnsi="Times New Roman" w:eastAsia="Malgun Gothic" w:cs="Times New Roman"/>
                <w:sz w:val="22"/>
                <w:szCs w:val="22"/>
                <w:lang w:val="en-GB" w:eastAsia="zh-CN"/>
              </w:rPr>
              <w:t xml:space="preserve">For RRC connected mode UEs, at least cell-specific configuration on time </w:t>
            </w:r>
            <w:r>
              <w:rPr>
                <w:rFonts w:hint="eastAsia" w:ascii="Times New Roman" w:hAnsi="Times New Roman" w:eastAsia="Malgun Gothic" w:cs="Times New Roman"/>
                <w:sz w:val="22"/>
                <w:szCs w:val="22"/>
                <w:highlight w:val="darkYellow"/>
                <w:lang w:val="en-GB" w:eastAsia="zh-CN"/>
              </w:rPr>
              <w:t xml:space="preserve">and frequency(working assumption) </w:t>
            </w:r>
            <w:r>
              <w:rPr>
                <w:rFonts w:hint="eastAsia" w:ascii="Times New Roman" w:hAnsi="Times New Roman" w:eastAsia="Malgun Gothic" w:cs="Times New Roman"/>
                <w:sz w:val="22"/>
                <w:szCs w:val="22"/>
                <w:lang w:val="en-GB" w:eastAsia="zh-CN"/>
              </w:rPr>
              <w:t>location of SBFD subbands is supported within a TDD carrier.</w:t>
            </w:r>
          </w:p>
          <w:p>
            <w:pPr>
              <w:keepNext w:val="0"/>
              <w:keepLines w:val="0"/>
              <w:widowControl w:val="0"/>
              <w:numPr>
                <w:ilvl w:val="0"/>
                <w:numId w:val="9"/>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b w:val="0"/>
                <w:bCs/>
                <w:i w:val="0"/>
                <w:iCs/>
                <w:strike w:val="0"/>
                <w:dstrike w:val="0"/>
                <w:szCs w:val="20"/>
                <w:vertAlign w:val="baseline"/>
                <w:lang w:val="en-US" w:eastAsia="zh-CN"/>
              </w:rPr>
            </w:pPr>
            <w:r>
              <w:rPr>
                <w:rFonts w:hint="eastAsia" w:ascii="Times New Roman" w:hAnsi="Times New Roman" w:eastAsia="宋体" w:cs="Times New Roman"/>
                <w:sz w:val="22"/>
                <w:szCs w:val="22"/>
                <w:lang w:val="en-GB" w:eastAsia="ja-JP" w:bidi="ar-SA"/>
              </w:rPr>
              <w:t>FFS: Additional support of UE-specific configuration on time and/or frequency locations of SBFD subbands</w:t>
            </w:r>
          </w:p>
        </w:tc>
      </w:tr>
    </w:tbl>
    <w:p>
      <w:pPr>
        <w:rPr>
          <w:rFonts w:hint="eastAsia"/>
          <w:b w:val="0"/>
          <w:bCs/>
          <w:i w:val="0"/>
          <w:iCs/>
          <w:strike w:val="0"/>
          <w:dstrike w:val="0"/>
          <w:szCs w:val="20"/>
          <w:lang w:val="en-US" w:eastAsia="zh-CN"/>
        </w:rPr>
      </w:pP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From the gNB</w:t>
      </w:r>
      <w:r>
        <w:rPr>
          <w:rFonts w:hint="default"/>
          <w:b w:val="0"/>
          <w:bCs/>
          <w:i w:val="0"/>
          <w:iCs/>
          <w:strike w:val="0"/>
          <w:dstrike w:val="0"/>
          <w:szCs w:val="20"/>
          <w:lang w:val="en-US" w:eastAsia="zh-CN"/>
        </w:rPr>
        <w:t>’</w:t>
      </w:r>
      <w:r>
        <w:rPr>
          <w:rFonts w:hint="eastAsia"/>
          <w:b w:val="0"/>
          <w:bCs/>
          <w:i w:val="0"/>
          <w:iCs/>
          <w:strike w:val="0"/>
          <w:dstrike w:val="0"/>
          <w:szCs w:val="20"/>
          <w:lang w:val="en-US" w:eastAsia="zh-CN"/>
        </w:rPr>
        <w:t>s perspective, a portion of the frequency resources within the TDD carrier can be allocated for UL transmission, known as SBFD operations. This part of the frequency resource can be considered as a sub-pool of the overall frequency resource pool of the TDD carrier. In this regard, the UL subband is shared by all SBFD aware UEs and can be configured at the cell level. In addition, the configuration signaling is straightforward, since the frequency location of the UL/DL subbands is determined with reference to the CRB grid. For a BWP pair configured for the TDD cell, the UL subband for the actual application can be derived from the UL/DL BWP of the BWP pair and the frequency positions of the UL subbands configured for the TDD cell.</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Alternatively, it is also possible to configure the UL subband at the BWP level, as long as the gNB is able to manage UL the configurations related to the UL subband based on the planned sub-pool of UL resources for the TDD carrier. Since the UE typically operates in an active BWP pair, it is simpler and more straightforward for the UE to apply the subband division within the active BWP pair, with the UL subband naturally confined within the BWP pair. Additionally, configuring the UL subband at the BWP level can better align with other signaling configurations within the same BWP pair, such as achieving separate configurations of channels/signals for SBFD symbols and non-SBFD symbols.</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 xml:space="preserve">In summary, there are different advantages to configure subbands at either the cell level or the BWP level. However, it is slightly preferred to configure subbands at the cell level. Nevertheless, it is preferable for the subbands to be configured using cell-specific RRC signaling, since the subband configuration is common for all the SBFD aware UE. </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Proposal 1：The cell-specific configuration on time and frequency location of SBFD subbands should be carried in SIB.</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p>
    <w:p>
      <w:pPr>
        <w:rPr>
          <w:rFonts w:hint="eastAsia" w:cs="Times New Roman"/>
          <w:sz w:val="22"/>
          <w:szCs w:val="22"/>
          <w:lang w:val="en-US" w:eastAsia="zh-CN" w:bidi="ar-SA"/>
        </w:rPr>
      </w:pPr>
      <w:r>
        <w:rPr>
          <w:rFonts w:hint="eastAsia"/>
          <w:b w:val="0"/>
          <w:bCs/>
          <w:i w:val="0"/>
          <w:iCs/>
          <w:strike w:val="0"/>
          <w:dstrike w:val="0"/>
          <w:szCs w:val="20"/>
          <w:lang w:val="en-US" w:eastAsia="zh-CN"/>
        </w:rPr>
        <w:t>Regarding the indication of frequency location of the SBFD subbands, whether to support UE-</w:t>
      </w:r>
      <w:r>
        <w:rPr>
          <w:rFonts w:hint="eastAsia" w:ascii="Times New Roman" w:hAnsi="Times New Roman" w:eastAsia="宋体" w:cs="Times New Roman"/>
          <w:sz w:val="22"/>
          <w:szCs w:val="22"/>
          <w:lang w:val="en-GB" w:eastAsia="ja-JP" w:bidi="ar-SA"/>
        </w:rPr>
        <w:t xml:space="preserve">specific configuration </w:t>
      </w:r>
      <w:r>
        <w:rPr>
          <w:rFonts w:hint="eastAsia" w:cs="Times New Roman"/>
          <w:sz w:val="22"/>
          <w:szCs w:val="22"/>
          <w:lang w:val="en-US" w:eastAsia="zh-CN" w:bidi="ar-SA"/>
        </w:rPr>
        <w:t>for the</w:t>
      </w:r>
      <w:r>
        <w:rPr>
          <w:rFonts w:hint="eastAsia" w:ascii="Times New Roman" w:hAnsi="Times New Roman" w:eastAsia="宋体" w:cs="Times New Roman"/>
          <w:sz w:val="22"/>
          <w:szCs w:val="22"/>
          <w:lang w:val="en-GB" w:eastAsia="ja-JP" w:bidi="ar-SA"/>
        </w:rPr>
        <w:t xml:space="preserve"> frequency locations of SBFD subbands</w:t>
      </w:r>
      <w:r>
        <w:rPr>
          <w:rFonts w:hint="eastAsia" w:cs="Times New Roman"/>
          <w:sz w:val="22"/>
          <w:szCs w:val="22"/>
          <w:lang w:val="en-US" w:eastAsia="zh-CN" w:bidi="ar-SA"/>
        </w:rPr>
        <w:t xml:space="preserve"> was still under discussion at the last meeting. T</w:t>
      </w:r>
      <w:r>
        <w:rPr>
          <w:rFonts w:hint="eastAsia"/>
          <w:b w:val="0"/>
          <w:bCs/>
          <w:i w:val="0"/>
          <w:iCs/>
          <w:strike w:val="0"/>
          <w:dstrike w:val="0"/>
          <w:szCs w:val="20"/>
          <w:lang w:val="en-US" w:eastAsia="zh-CN"/>
        </w:rPr>
        <w:t xml:space="preserve">he main intention of introducing </w:t>
      </w:r>
      <w:r>
        <w:rPr>
          <w:rFonts w:hint="eastAsia" w:ascii="Times New Roman" w:hAnsi="Times New Roman" w:eastAsia="宋体" w:cs="Times New Roman"/>
          <w:sz w:val="22"/>
          <w:szCs w:val="22"/>
          <w:lang w:val="en-GB" w:eastAsia="ja-JP" w:bidi="ar-SA"/>
        </w:rPr>
        <w:t xml:space="preserve">UE-specific configuration </w:t>
      </w:r>
      <w:r>
        <w:rPr>
          <w:rFonts w:hint="eastAsia" w:cs="Times New Roman"/>
          <w:sz w:val="22"/>
          <w:szCs w:val="22"/>
          <w:lang w:val="en-US" w:eastAsia="zh-CN" w:bidi="ar-SA"/>
        </w:rPr>
        <w:t>for</w:t>
      </w:r>
      <w:r>
        <w:rPr>
          <w:rFonts w:hint="eastAsia" w:ascii="Times New Roman" w:hAnsi="Times New Roman" w:eastAsia="宋体" w:cs="Times New Roman"/>
          <w:sz w:val="22"/>
          <w:szCs w:val="22"/>
          <w:lang w:val="en-GB" w:eastAsia="ja-JP" w:bidi="ar-SA"/>
        </w:rPr>
        <w:t xml:space="preserve"> frequency locations of SBFD subbands</w:t>
      </w:r>
      <w:r>
        <w:rPr>
          <w:rFonts w:hint="eastAsia" w:cs="Times New Roman"/>
          <w:sz w:val="22"/>
          <w:szCs w:val="22"/>
          <w:lang w:val="en-US" w:eastAsia="zh-CN" w:bidi="ar-SA"/>
        </w:rPr>
        <w:t xml:space="preserve"> is to configure different guard bands for different UEs </w:t>
      </w:r>
      <w:r>
        <w:rPr>
          <w:rFonts w:eastAsiaTheme="minorEastAsia"/>
          <w:lang w:val="en-GB" w:eastAsia="zh-CN"/>
        </w:rPr>
        <w:t>due to different UE capabilities and/or UE-</w:t>
      </w:r>
      <w:r>
        <w:rPr>
          <w:rFonts w:hint="eastAsia" w:eastAsiaTheme="minorEastAsia"/>
          <w:lang w:val="en-US" w:eastAsia="zh-CN"/>
        </w:rPr>
        <w:t>to-</w:t>
      </w:r>
      <w:r>
        <w:rPr>
          <w:rFonts w:eastAsiaTheme="minorEastAsia"/>
          <w:lang w:val="en-GB" w:eastAsia="zh-CN"/>
        </w:rPr>
        <w:t>UE CLI levels</w:t>
      </w:r>
      <w:r>
        <w:rPr>
          <w:rFonts w:hint="eastAsia" w:cs="Times New Roman"/>
          <w:sz w:val="22"/>
          <w:szCs w:val="22"/>
          <w:lang w:val="en-US" w:eastAsia="zh-CN" w:bidi="ar-SA"/>
        </w:rPr>
        <w:t xml:space="preserve">. However, </w:t>
      </w:r>
      <w:r>
        <w:t xml:space="preserve">the main </w:t>
      </w:r>
      <w:r>
        <w:rPr>
          <w:rFonts w:hint="eastAsia"/>
          <w:lang w:val="en-US" w:eastAsia="zh-CN"/>
        </w:rPr>
        <w:t>purpose</w:t>
      </w:r>
      <w:r>
        <w:t xml:space="preserve"> of</w:t>
      </w:r>
      <w:r>
        <w:rPr>
          <w:rFonts w:hint="eastAsia"/>
          <w:lang w:val="en-US" w:eastAsia="zh-CN"/>
        </w:rPr>
        <w:t xml:space="preserve"> the</w:t>
      </w:r>
      <w:r>
        <w:t xml:space="preserve"> guard band(s) is to provide frequency isolation at the gNB. </w:t>
      </w:r>
      <w:r>
        <w:rPr>
          <w:rFonts w:hint="eastAsia"/>
          <w:lang w:val="en-US" w:eastAsia="zh-CN"/>
        </w:rPr>
        <w:t>The gNB can configure an appropriate guard bands for all SBFD aware UEs by implementation</w:t>
      </w:r>
      <w:r>
        <w:t xml:space="preserve">. Furthermore, if the intention is to </w:t>
      </w:r>
      <w:r>
        <w:rPr>
          <w:rFonts w:hint="eastAsia"/>
          <w:lang w:val="en-US" w:eastAsia="zh-CN"/>
        </w:rPr>
        <w:t>provide</w:t>
      </w:r>
      <w:r>
        <w:t xml:space="preserve"> different </w:t>
      </w:r>
      <w:r>
        <w:rPr>
          <w:rFonts w:hint="eastAsia"/>
          <w:lang w:val="en-US" w:eastAsia="zh-CN"/>
        </w:rPr>
        <w:t>available</w:t>
      </w:r>
      <w:r>
        <w:t xml:space="preserve"> resources </w:t>
      </w:r>
      <w:r>
        <w:rPr>
          <w:rFonts w:hint="eastAsia"/>
          <w:lang w:val="en-US" w:eastAsia="zh-CN"/>
        </w:rPr>
        <w:t>to</w:t>
      </w:r>
      <w:r>
        <w:t xml:space="preserve"> different UEs, it can be achieved by </w:t>
      </w:r>
      <w:r>
        <w:rPr>
          <w:rFonts w:hint="eastAsia"/>
          <w:lang w:val="en-US" w:eastAsia="zh-CN"/>
        </w:rPr>
        <w:t xml:space="preserve">the gNB transparently </w:t>
      </w:r>
      <w:r>
        <w:t xml:space="preserve">not scheduling </w:t>
      </w:r>
      <w:r>
        <w:rPr>
          <w:rFonts w:hint="eastAsia"/>
          <w:lang w:val="en-US" w:eastAsia="zh-CN"/>
        </w:rPr>
        <w:t>certain</w:t>
      </w:r>
      <w:r>
        <w:t xml:space="preserve"> RBs.</w:t>
      </w:r>
      <w:r>
        <w:rPr>
          <w:rFonts w:hint="eastAsia"/>
          <w:lang w:val="en-US" w:eastAsia="zh-CN"/>
        </w:rPr>
        <w:t xml:space="preserve"> Therefore, </w:t>
      </w:r>
      <w:r>
        <w:rPr>
          <w:rFonts w:hint="eastAsia" w:ascii="Times New Roman" w:hAnsi="Times New Roman" w:eastAsia="宋体" w:cs="Times New Roman"/>
          <w:sz w:val="22"/>
          <w:szCs w:val="22"/>
          <w:lang w:val="en-GB" w:eastAsia="ja-JP" w:bidi="ar-SA"/>
        </w:rPr>
        <w:t>UE-specific configuration on frequency locations of SBFD subbands</w:t>
      </w:r>
      <w:r>
        <w:rPr>
          <w:rFonts w:hint="eastAsia" w:cs="Times New Roman"/>
          <w:sz w:val="22"/>
          <w:szCs w:val="22"/>
          <w:lang w:val="en-US" w:eastAsia="zh-CN" w:bidi="ar-SA"/>
        </w:rPr>
        <w:t xml:space="preserve"> should not be supported.</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 xml:space="preserve">Proposal 2: </w:t>
      </w:r>
      <w:r>
        <w:rPr>
          <w:rFonts w:hint="eastAsia"/>
          <w:b/>
          <w:bCs w:val="0"/>
          <w:i/>
          <w:iCs w:val="0"/>
          <w:szCs w:val="20"/>
          <w:lang w:val="en-GB" w:eastAsia="ja-JP"/>
        </w:rPr>
        <w:t>UE-specific configuration on frequency locations of SBFD subbands</w:t>
      </w:r>
      <w:r>
        <w:rPr>
          <w:rFonts w:hint="eastAsia"/>
          <w:b/>
          <w:bCs w:val="0"/>
          <w:i/>
          <w:iCs w:val="0"/>
          <w:szCs w:val="20"/>
          <w:lang w:val="en-US" w:eastAsia="zh-CN"/>
        </w:rPr>
        <w:t xml:space="preserve"> should not be supported.</w:t>
      </w:r>
    </w:p>
    <w:p>
      <w:pPr>
        <w:rPr>
          <w:rFonts w:hint="eastAsia"/>
          <w:b w:val="0"/>
          <w:bCs/>
          <w:i w:val="0"/>
          <w:iCs/>
          <w:strike w:val="0"/>
          <w:dstrike w:val="0"/>
          <w:szCs w:val="20"/>
          <w:lang w:val="en-US" w:eastAsia="zh-CN"/>
        </w:rPr>
      </w:pP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In RAN1#116 meeting, the following agreement was achieved [2].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Malgun Gothic" w:cs="Times New Roman"/>
                <w:b/>
                <w:sz w:val="20"/>
                <w:szCs w:val="24"/>
                <w:highlight w:val="green"/>
                <w:lang w:val="en-GB" w:eastAsia="zh-CN"/>
              </w:rPr>
            </w:pPr>
            <w:r>
              <w:rPr>
                <w:rFonts w:hint="eastAsia" w:ascii="Times" w:hAnsi="Times" w:eastAsia="Malgun Gothic" w:cs="Times New Roman"/>
                <w:b/>
                <w:sz w:val="20"/>
                <w:szCs w:val="24"/>
                <w:highlight w:val="green"/>
                <w:lang w:val="en-GB" w:eastAsia="zh-CN"/>
              </w:rPr>
              <w:t>Agreement:</w:t>
            </w:r>
          </w:p>
          <w:p>
            <w:pPr>
              <w:keepNext w:val="0"/>
              <w:keepLines w:val="0"/>
              <w:widowControl w:val="0"/>
              <w:suppressLineNumbers w:val="0"/>
              <w:tabs>
                <w:tab w:val="left" w:pos="0"/>
              </w:tabs>
              <w:autoSpaceDE/>
              <w:autoSpaceDN/>
              <w:adjustRightInd/>
              <w:snapToGrid/>
              <w:spacing w:before="0" w:beforeAutospacing="0" w:after="160" w:afterAutospacing="0" w:line="259" w:lineRule="auto"/>
              <w:ind w:left="0" w:leftChars="0" w:right="0"/>
              <w:jc w:val="left"/>
              <w:rPr>
                <w:rFonts w:hint="eastAsia" w:ascii="Times New Roman" w:hAnsi="Times New Roman" w:eastAsia="Malgun Gothic" w:cs="Times New Roman"/>
                <w:sz w:val="20"/>
                <w:szCs w:val="24"/>
                <w:lang w:val="en-GB" w:eastAsia="zh-CN" w:bidi="ar-SA"/>
              </w:rPr>
            </w:pPr>
            <w:r>
              <w:rPr>
                <w:rFonts w:hint="eastAsia" w:ascii="Times New Roman" w:hAnsi="Times New Roman" w:eastAsia="Malgun Gothic" w:cs="Times New Roman"/>
                <w:sz w:val="20"/>
                <w:szCs w:val="24"/>
                <w:lang w:val="en-GB" w:eastAsia="zh-CN" w:bidi="ar-SA"/>
              </w:rPr>
              <w:t>The maximum number of UL subbands for SBFD operation in an SBFD symbol within a TDD carrier is one.</w:t>
            </w:r>
          </w:p>
          <w:p>
            <w:pPr>
              <w:keepNext w:val="0"/>
              <w:keepLines w:val="0"/>
              <w:widowControl w:val="0"/>
              <w:suppressLineNumbers w:val="0"/>
              <w:tabs>
                <w:tab w:val="left" w:pos="0"/>
              </w:tabs>
              <w:autoSpaceDE/>
              <w:autoSpaceDN/>
              <w:adjustRightInd/>
              <w:snapToGrid/>
              <w:spacing w:before="0" w:beforeAutospacing="0" w:after="160" w:afterAutospacing="0" w:line="259" w:lineRule="auto"/>
              <w:ind w:left="0" w:leftChars="0" w:right="0"/>
              <w:jc w:val="left"/>
              <w:rPr>
                <w:rFonts w:hint="eastAsia" w:ascii="Times New Roman" w:hAnsi="Times New Roman" w:eastAsia="Malgun Gothic" w:cs="Times New Roman"/>
                <w:sz w:val="20"/>
                <w:szCs w:val="24"/>
                <w:lang w:val="en-GB" w:eastAsia="zh-CN" w:bidi="ar-SA"/>
              </w:rPr>
            </w:pPr>
            <w:r>
              <w:rPr>
                <w:rFonts w:hint="eastAsia" w:ascii="Times New Roman" w:hAnsi="Times New Roman" w:eastAsia="Malgun Gothic" w:cs="Times New Roman"/>
                <w:sz w:val="20"/>
                <w:szCs w:val="24"/>
                <w:lang w:val="en-GB" w:eastAsia="zh-CN" w:bidi="ar-SA"/>
              </w:rPr>
              <w:t>The UL subband can be located at one side of the carrier or can be located at the middle part of the carrier.</w:t>
            </w:r>
          </w:p>
          <w:p>
            <w:pPr>
              <w:keepNext w:val="0"/>
              <w:keepLines w:val="0"/>
              <w:widowControl w:val="0"/>
              <w:suppressLineNumbers w:val="0"/>
              <w:tabs>
                <w:tab w:val="left" w:pos="0"/>
              </w:tabs>
              <w:autoSpaceDE/>
              <w:autoSpaceDN/>
              <w:adjustRightInd/>
              <w:snapToGrid/>
              <w:spacing w:before="0" w:beforeAutospacing="0" w:after="160" w:afterAutospacing="0" w:line="259" w:lineRule="auto"/>
              <w:ind w:left="0" w:leftChars="0" w:right="0"/>
              <w:jc w:val="left"/>
              <w:rPr>
                <w:rFonts w:hint="eastAsia" w:ascii="Times New Roman" w:hAnsi="Times New Roman" w:eastAsia="Malgun Gothic" w:cs="Times New Roman"/>
                <w:sz w:val="20"/>
                <w:szCs w:val="24"/>
                <w:lang w:val="en-GB" w:eastAsia="zh-CN" w:bidi="ar-SA"/>
              </w:rPr>
            </w:pPr>
            <w:r>
              <w:rPr>
                <w:rFonts w:hint="eastAsia" w:ascii="Times New Roman" w:hAnsi="Times New Roman" w:eastAsia="Malgun Gothic" w:cs="Times New Roman"/>
                <w:sz w:val="20"/>
                <w:szCs w:val="24"/>
                <w:lang w:val="en-GB" w:eastAsia="zh-CN" w:bidi="ar-SA"/>
              </w:rPr>
              <w:t>For semi-static indication of SBFD subband frequency location, down-select from the following options.</w:t>
            </w:r>
          </w:p>
          <w:p>
            <w:pPr>
              <w:keepNext w:val="0"/>
              <w:keepLines w:val="0"/>
              <w:widowControl w:val="0"/>
              <w:numPr>
                <w:ilvl w:val="0"/>
                <w:numId w:val="10"/>
              </w:numPr>
              <w:suppressLineNumbers w:val="0"/>
              <w:suppressAutoHyphens/>
              <w:autoSpaceDE/>
              <w:autoSpaceDN/>
              <w:adjustRightInd/>
              <w:snapToGrid/>
              <w:spacing w:before="0" w:beforeAutospacing="0" w:after="160" w:afterAutospacing="0" w:line="259" w:lineRule="auto"/>
              <w:ind w:left="720" w:leftChars="0" w:right="0" w:hanging="360"/>
              <w:jc w:val="both"/>
              <w:rPr>
                <w:rFonts w:hint="eastAsia" w:ascii="Times New Roman" w:hAnsi="Times New Roman" w:eastAsia="Malgun Gothic" w:cs="Times New Roman"/>
                <w:sz w:val="20"/>
                <w:szCs w:val="24"/>
                <w:lang w:val="en-GB" w:eastAsia="zh-CN" w:bidi="ar-SA"/>
              </w:rPr>
            </w:pPr>
            <w:r>
              <w:rPr>
                <w:rFonts w:hint="eastAsia" w:ascii="Times New Roman" w:hAnsi="Times New Roman" w:eastAsia="Malgun Gothic" w:cs="Times New Roman"/>
                <w:sz w:val="20"/>
                <w:szCs w:val="24"/>
                <w:lang w:val="en-GB" w:eastAsia="zh-CN" w:bidi="ar-SA"/>
              </w:rPr>
              <w:t xml:space="preserve">Option 1: Frequency locations of UL subband and DL subband(s) are explicitly configured. Guardband(s) if any are implicitly derived as the RBs which are not within UL subband or DL subband(s). </w:t>
            </w:r>
          </w:p>
          <w:p>
            <w:pPr>
              <w:keepNext w:val="0"/>
              <w:keepLines w:val="0"/>
              <w:widowControl w:val="0"/>
              <w:numPr>
                <w:ilvl w:val="0"/>
                <w:numId w:val="10"/>
              </w:numPr>
              <w:suppressLineNumbers w:val="0"/>
              <w:suppressAutoHyphens/>
              <w:autoSpaceDE/>
              <w:autoSpaceDN/>
              <w:adjustRightInd/>
              <w:snapToGrid/>
              <w:spacing w:before="0" w:beforeAutospacing="0" w:after="160" w:afterAutospacing="0" w:line="259" w:lineRule="auto"/>
              <w:ind w:left="720" w:leftChars="0" w:right="0" w:hanging="360"/>
              <w:jc w:val="both"/>
              <w:rPr>
                <w:rFonts w:hint="eastAsia"/>
                <w:b w:val="0"/>
                <w:bCs/>
                <w:i w:val="0"/>
                <w:iCs/>
                <w:strike w:val="0"/>
                <w:dstrike w:val="0"/>
                <w:szCs w:val="20"/>
                <w:vertAlign w:val="baseline"/>
                <w:lang w:val="en-US" w:eastAsia="zh-CN"/>
              </w:rPr>
            </w:pPr>
            <w:r>
              <w:rPr>
                <w:rFonts w:hint="eastAsia" w:ascii="Times New Roman" w:hAnsi="Times New Roman" w:eastAsia="Malgun Gothic" w:cs="Times New Roman"/>
                <w:sz w:val="20"/>
                <w:szCs w:val="24"/>
                <w:lang w:val="en-GB" w:eastAsia="zh-CN" w:bidi="ar-SA"/>
              </w:rPr>
              <w:t>Option 2: Frequency location of UL subband and the number of RBs for guardband(s), if any, are explicitly configured. DL subband(s) are implicitly derived as RBs which are not within UL subband or guardband(s).</w:t>
            </w:r>
          </w:p>
        </w:tc>
      </w:tr>
    </w:tbl>
    <w:p>
      <w:pPr>
        <w:rPr>
          <w:rFonts w:hint="eastAsia"/>
          <w:b w:val="0"/>
          <w:bCs/>
          <w:i w:val="0"/>
          <w:iCs/>
          <w:strike w:val="0"/>
          <w:dstrike w:val="0"/>
          <w:szCs w:val="20"/>
          <w:lang w:val="en-US" w:eastAsia="zh-CN"/>
        </w:rPr>
      </w:pP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In the discussion of SBFD operation within a TDD carrier, an SBFD subband is defined as a single RB or a set of consecutive RBs used in the same direction of transmission. Similarly, an SBFD symbol is defined as a symbol that contains the subbands of the gNB used for SBFD operation.</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In study phase, studies on SBFD operations within TDD carriers have focused on SBFD schemes in pairs of individually configured DL and UL BWP based on aligned center frequencies. In the RAN1 study, the maximum number of UL subbands used for SBFD operation within a TDD carrier in an SBFD symbol (excluding legacy UL symbols) is limited to one. This UL subband may be located on one side or in the middle portion of the carrier.</w:t>
      </w:r>
    </w:p>
    <w:p>
      <w:pPr>
        <w:spacing w:after="120"/>
      </w:pPr>
      <w:r>
        <w:t xml:space="preserve">For semi-static configuration of subband frequency locations for SBFD operation, </w:t>
      </w:r>
      <w:r>
        <w:rPr>
          <w:rFonts w:hint="eastAsia"/>
        </w:rPr>
        <w:t xml:space="preserve">at least </w:t>
      </w:r>
      <w:r>
        <w:t>explicit indication of frequency location of UL subband is required</w:t>
      </w:r>
      <w:r>
        <w:rPr>
          <w:rFonts w:hint="eastAsia"/>
        </w:rPr>
        <w:t>.</w:t>
      </w:r>
      <w:r>
        <w:t xml:space="preserve"> At least for semi-static SBFD, the following two options are viable solutions for frequency location configuration of DL subband(s) and guardband(s) if any.</w:t>
      </w:r>
    </w:p>
    <w:p>
      <w:pPr>
        <w:keepNext w:val="0"/>
        <w:keepLines w:val="0"/>
        <w:widowControl w:val="0"/>
        <w:numPr>
          <w:ilvl w:val="0"/>
          <w:numId w:val="10"/>
        </w:numPr>
        <w:suppressLineNumbers w:val="0"/>
        <w:suppressAutoHyphens/>
        <w:autoSpaceDE/>
        <w:autoSpaceDN/>
        <w:adjustRightInd/>
        <w:snapToGrid/>
        <w:spacing w:before="0" w:beforeAutospacing="0" w:after="160" w:afterAutospacing="0" w:line="259" w:lineRule="auto"/>
        <w:ind w:left="720" w:leftChars="0" w:right="0" w:hanging="360"/>
        <w:jc w:val="both"/>
        <w:rPr>
          <w:rFonts w:hint="eastAsia" w:ascii="Times New Roman" w:hAnsi="Times New Roman" w:eastAsia="Malgun Gothic" w:cs="Times New Roman"/>
          <w:sz w:val="20"/>
          <w:szCs w:val="24"/>
          <w:lang w:val="en-GB" w:eastAsia="zh-CN" w:bidi="ar-SA"/>
        </w:rPr>
      </w:pPr>
      <w:r>
        <w:rPr>
          <w:rFonts w:hint="eastAsia" w:ascii="Times New Roman" w:hAnsi="Times New Roman" w:eastAsia="Malgun Gothic" w:cs="Times New Roman"/>
          <w:sz w:val="22"/>
          <w:szCs w:val="32"/>
          <w:lang w:val="en-GB" w:eastAsia="zh-CN" w:bidi="ar-SA"/>
        </w:rPr>
        <w:t>Option 1: Frequency locations of UL subband and DL subband(s) are explicitly configured. Guardband(s) if any are implicitly derived as the RBs which are not within UL subband or DL subband(s).</w:t>
      </w:r>
      <w:r>
        <w:rPr>
          <w:rFonts w:hint="eastAsia" w:ascii="Times New Roman" w:hAnsi="Times New Roman" w:eastAsia="Malgun Gothic" w:cs="Times New Roman"/>
          <w:sz w:val="20"/>
          <w:szCs w:val="24"/>
          <w:lang w:val="en-GB" w:eastAsia="zh-CN" w:bidi="ar-SA"/>
        </w:rPr>
        <w:t xml:space="preserve"> </w:t>
      </w:r>
    </w:p>
    <w:p>
      <w:pPr>
        <w:keepNext w:val="0"/>
        <w:keepLines w:val="0"/>
        <w:widowControl w:val="0"/>
        <w:numPr>
          <w:ilvl w:val="0"/>
          <w:numId w:val="10"/>
        </w:numPr>
        <w:suppressLineNumbers w:val="0"/>
        <w:suppressAutoHyphens/>
        <w:autoSpaceDE/>
        <w:autoSpaceDN/>
        <w:adjustRightInd/>
        <w:snapToGrid/>
        <w:spacing w:before="0" w:beforeAutospacing="0" w:after="160" w:afterAutospacing="0" w:line="259" w:lineRule="auto"/>
        <w:ind w:left="720" w:leftChars="0" w:right="0" w:hanging="360"/>
        <w:jc w:val="both"/>
        <w:rPr>
          <w:rFonts w:hint="eastAsia" w:ascii="Times New Roman" w:hAnsi="Times New Roman" w:eastAsia="Malgun Gothic" w:cs="Times New Roman"/>
          <w:sz w:val="22"/>
          <w:szCs w:val="32"/>
          <w:lang w:val="en-GB" w:eastAsia="zh-CN" w:bidi="ar-SA"/>
        </w:rPr>
      </w:pPr>
      <w:r>
        <w:rPr>
          <w:rFonts w:hint="eastAsia" w:ascii="Times New Roman" w:hAnsi="Times New Roman" w:eastAsia="Malgun Gothic" w:cs="Times New Roman"/>
          <w:sz w:val="22"/>
          <w:szCs w:val="32"/>
          <w:lang w:val="en-GB" w:eastAsia="zh-CN" w:bidi="ar-SA"/>
        </w:rPr>
        <w:t>Option 2: Frequency location of UL subband and the number of RBs for guardband(s), if any, are explicitly configured. DL subband(s) are implicitly derived as RBs which are not within UL subband or guardband(s).</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For an SBFD-aware UE, the guard band affects transmission/reception not only within the SBFD band, but also outside the SBFD band. Therefore, for SBFD aware UE, the guard band needs to be indicated by the gNB.</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r>
        <w:rPr>
          <w:rFonts w:hint="eastAsia"/>
          <w:b/>
          <w:bCs w:val="0"/>
          <w:i/>
          <w:iCs w:val="0"/>
          <w:szCs w:val="20"/>
          <w:lang w:val="en-US" w:eastAsia="zh-CN"/>
        </w:rPr>
        <w:t>Proposal 3: The frequency location of SBFD subband and the guardband can be jointly indicated by gNB.</w:t>
      </w:r>
    </w:p>
    <w:p>
      <w:pPr>
        <w:rPr>
          <w:rFonts w:hint="default"/>
          <w:b/>
          <w:i/>
          <w:iCs w:val="0"/>
          <w:strike w:val="0"/>
          <w:dstrike w:val="0"/>
          <w:szCs w:val="20"/>
          <w:lang w:val="en-US" w:eastAsia="zh-CN"/>
        </w:rPr>
      </w:pPr>
    </w:p>
    <w:p>
      <w:pPr>
        <w:rPr>
          <w:rFonts w:hint="default"/>
          <w:b w:val="0"/>
          <w:bCs/>
          <w:i w:val="0"/>
          <w:iCs/>
          <w:strike w:val="0"/>
          <w:dstrike w:val="0"/>
          <w:szCs w:val="20"/>
          <w:lang w:val="en-US" w:eastAsia="zh-CN"/>
        </w:rPr>
      </w:pPr>
      <w:r>
        <w:rPr>
          <w:rFonts w:hint="eastAsia"/>
          <w:b w:val="0"/>
          <w:bCs/>
          <w:i w:val="0"/>
          <w:iCs/>
          <w:strike w:val="0"/>
          <w:dstrike w:val="0"/>
          <w:szCs w:val="20"/>
          <w:lang w:val="en-US" w:eastAsia="zh-CN"/>
        </w:rPr>
        <w:t>In RAN1#116 meeting, the following agreement was achieved [2].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Malgun Gothic" w:cs="Times New Roman"/>
                <w:b/>
                <w:sz w:val="20"/>
                <w:szCs w:val="24"/>
                <w:highlight w:val="green"/>
                <w:lang w:val="en-GB" w:eastAsia="zh-CN"/>
              </w:rPr>
            </w:pPr>
            <w:r>
              <w:rPr>
                <w:rFonts w:hint="eastAsia" w:ascii="Times" w:hAnsi="Times" w:eastAsia="Malgun Gothic" w:cs="Times New Roman"/>
                <w:b/>
                <w:sz w:val="20"/>
                <w:szCs w:val="24"/>
                <w:highlight w:val="green"/>
                <w:lang w:val="en-GB" w:eastAsia="zh-CN"/>
              </w:rPr>
              <w:t>Agreement:</w:t>
            </w:r>
          </w:p>
          <w:p>
            <w:pPr>
              <w:keepNext w:val="0"/>
              <w:keepLines w:val="0"/>
              <w:widowControl w:val="0"/>
              <w:suppressLineNumbers w:val="0"/>
              <w:tabs>
                <w:tab w:val="left" w:pos="0"/>
              </w:tabs>
              <w:autoSpaceDE/>
              <w:autoSpaceDN/>
              <w:adjustRightInd/>
              <w:snapToGrid/>
              <w:spacing w:before="0" w:beforeAutospacing="0" w:after="160" w:afterAutospacing="0" w:line="259" w:lineRule="auto"/>
              <w:ind w:left="0" w:leftChars="0" w:right="0"/>
              <w:jc w:val="left"/>
              <w:rPr>
                <w:rFonts w:hint="eastAsia" w:ascii="Times New Roman" w:hAnsi="Times New Roman" w:eastAsia="Malgun Gothic" w:cs="Times New Roman"/>
                <w:sz w:val="20"/>
                <w:szCs w:val="24"/>
                <w:lang w:val="en-GB" w:eastAsia="en-US" w:bidi="ar-SA"/>
              </w:rPr>
            </w:pPr>
            <w:r>
              <w:rPr>
                <w:rFonts w:hint="eastAsia" w:ascii="Times New Roman" w:hAnsi="Times New Roman" w:eastAsia="Malgun Gothic" w:cs="Times New Roman"/>
                <w:sz w:val="20"/>
                <w:szCs w:val="24"/>
                <w:lang w:val="en-GB" w:eastAsia="en-US" w:bidi="ar-SA"/>
              </w:rPr>
              <w:t>For RRC connected mode UEs, SBFD subband time locations are configured within a period. At least when only one TDD-UL-DL pattern is configured, the period is down-selected from one of the following options.</w:t>
            </w:r>
          </w:p>
          <w:p>
            <w:pPr>
              <w:keepNext w:val="0"/>
              <w:keepLines w:val="0"/>
              <w:widowControl w:val="0"/>
              <w:numPr>
                <w:ilvl w:val="0"/>
                <w:numId w:val="10"/>
              </w:numPr>
              <w:suppressLineNumbers w:val="0"/>
              <w:suppressAutoHyphens/>
              <w:autoSpaceDE/>
              <w:autoSpaceDN/>
              <w:adjustRightInd/>
              <w:snapToGrid/>
              <w:spacing w:before="0" w:beforeAutospacing="0" w:after="160" w:afterAutospacing="0" w:line="259" w:lineRule="auto"/>
              <w:ind w:left="720" w:leftChars="0" w:right="0" w:hanging="360"/>
              <w:jc w:val="both"/>
              <w:rPr>
                <w:rFonts w:hint="eastAsia" w:ascii="Times New Roman" w:hAnsi="Times New Roman" w:eastAsia="Malgun Gothic" w:cs="Times New Roman"/>
                <w:sz w:val="20"/>
                <w:szCs w:val="24"/>
                <w:lang w:val="en-GB" w:eastAsia="en-US" w:bidi="ar-SA"/>
              </w:rPr>
            </w:pPr>
            <w:r>
              <w:rPr>
                <w:rFonts w:hint="eastAsia" w:ascii="Times New Roman" w:hAnsi="Times New Roman" w:eastAsia="Malgun Gothic" w:cs="Times New Roman"/>
                <w:sz w:val="20"/>
                <w:szCs w:val="24"/>
                <w:lang w:val="en-GB" w:eastAsia="en-US" w:bidi="ar-SA"/>
              </w:rPr>
              <w:t xml:space="preserve">Option 1: The period is the same as TDD-UL-DL pattern period configured by </w:t>
            </w:r>
            <w:r>
              <w:rPr>
                <w:rFonts w:hint="eastAsia" w:ascii="Times New Roman" w:hAnsi="Times New Roman" w:eastAsia="Malgun Gothic" w:cs="Times New Roman"/>
                <w:i/>
                <w:sz w:val="20"/>
                <w:szCs w:val="24"/>
                <w:lang w:val="en-GB" w:eastAsia="en-US" w:bidi="ar-SA"/>
              </w:rPr>
              <w:t>dl-UL-TransmissionPeriodicity</w:t>
            </w:r>
            <w:r>
              <w:rPr>
                <w:rFonts w:hint="eastAsia" w:ascii="Times New Roman" w:hAnsi="Times New Roman" w:eastAsia="Malgun Gothic" w:cs="Times New Roman"/>
                <w:sz w:val="20"/>
                <w:szCs w:val="24"/>
                <w:lang w:val="en-GB" w:eastAsia="en-US" w:bidi="ar-SA"/>
              </w:rPr>
              <w:t xml:space="preserve"> in </w:t>
            </w:r>
            <w:r>
              <w:rPr>
                <w:rFonts w:hint="eastAsia" w:ascii="Times New Roman" w:hAnsi="Times New Roman" w:eastAsia="Malgun Gothic" w:cs="Times New Roman"/>
                <w:i/>
                <w:sz w:val="20"/>
                <w:szCs w:val="24"/>
                <w:lang w:val="en-GB" w:eastAsia="en-US" w:bidi="ar-SA"/>
              </w:rPr>
              <w:t>TDD-UL-DL-ConfigCommon</w:t>
            </w:r>
            <w:r>
              <w:rPr>
                <w:rFonts w:hint="eastAsia" w:ascii="Times New Roman" w:hAnsi="Times New Roman" w:eastAsia="Malgun Gothic" w:cs="Times New Roman"/>
                <w:sz w:val="20"/>
                <w:szCs w:val="24"/>
                <w:lang w:val="en-GB" w:eastAsia="en-US" w:bidi="ar-SA"/>
              </w:rPr>
              <w:t>.</w:t>
            </w:r>
          </w:p>
          <w:p>
            <w:pPr>
              <w:keepNext w:val="0"/>
              <w:keepLines w:val="0"/>
              <w:widowControl w:val="0"/>
              <w:numPr>
                <w:ilvl w:val="0"/>
                <w:numId w:val="10"/>
              </w:numPr>
              <w:suppressLineNumbers w:val="0"/>
              <w:suppressAutoHyphens/>
              <w:autoSpaceDE/>
              <w:autoSpaceDN/>
              <w:adjustRightInd/>
              <w:snapToGrid/>
              <w:spacing w:before="0" w:beforeAutospacing="0" w:after="160" w:afterAutospacing="0" w:line="259" w:lineRule="auto"/>
              <w:ind w:left="720" w:leftChars="0" w:right="0" w:hanging="360"/>
              <w:jc w:val="both"/>
              <w:rPr>
                <w:rFonts w:hint="eastAsia" w:ascii="Times New Roman" w:hAnsi="Times New Roman" w:eastAsia="Malgun Gothic" w:cs="Times New Roman"/>
                <w:sz w:val="20"/>
                <w:szCs w:val="24"/>
                <w:lang w:val="en-GB" w:eastAsia="en-US" w:bidi="ar-SA"/>
              </w:rPr>
            </w:pPr>
            <w:r>
              <w:rPr>
                <w:rFonts w:hint="eastAsia" w:ascii="Times New Roman" w:hAnsi="Times New Roman" w:eastAsia="Malgun Gothic" w:cs="Times New Roman"/>
                <w:sz w:val="20"/>
                <w:szCs w:val="24"/>
                <w:lang w:val="en-GB" w:eastAsia="en-US" w:bidi="ar-SA"/>
              </w:rPr>
              <w:t xml:space="preserve">Option 2: The period is integer multiple of TDD-UL-DL pattern period configured by </w:t>
            </w:r>
            <w:r>
              <w:rPr>
                <w:rFonts w:hint="eastAsia" w:ascii="Times New Roman" w:hAnsi="Times New Roman" w:eastAsia="Malgun Gothic" w:cs="Times New Roman"/>
                <w:i/>
                <w:sz w:val="20"/>
                <w:szCs w:val="24"/>
                <w:lang w:val="en-GB" w:eastAsia="en-US" w:bidi="ar-SA"/>
              </w:rPr>
              <w:t>dl-UL-TransmissionPeriodicity</w:t>
            </w:r>
            <w:r>
              <w:rPr>
                <w:rFonts w:hint="eastAsia" w:ascii="Times New Roman" w:hAnsi="Times New Roman" w:eastAsia="Malgun Gothic" w:cs="Times New Roman"/>
                <w:sz w:val="20"/>
                <w:szCs w:val="24"/>
                <w:lang w:val="en-GB" w:eastAsia="en-US" w:bidi="ar-SA"/>
              </w:rPr>
              <w:t xml:space="preserve"> in </w:t>
            </w:r>
            <w:r>
              <w:rPr>
                <w:rFonts w:hint="eastAsia" w:ascii="Times New Roman" w:hAnsi="Times New Roman" w:eastAsia="Malgun Gothic" w:cs="Times New Roman"/>
                <w:i/>
                <w:sz w:val="20"/>
                <w:szCs w:val="24"/>
                <w:lang w:val="en-GB" w:eastAsia="en-US" w:bidi="ar-SA"/>
              </w:rPr>
              <w:t>TDD-UL-DL-ConfigCommon</w:t>
            </w:r>
            <w:r>
              <w:rPr>
                <w:rFonts w:hint="eastAsia" w:ascii="Times New Roman" w:hAnsi="Times New Roman" w:eastAsia="Malgun Gothic" w:cs="Times New Roman"/>
                <w:sz w:val="20"/>
                <w:szCs w:val="24"/>
                <w:lang w:val="en-GB" w:eastAsia="en-US" w:bidi="ar-SA"/>
              </w:rPr>
              <w:t>.</w:t>
            </w:r>
          </w:p>
          <w:p>
            <w:pPr>
              <w:keepNext w:val="0"/>
              <w:keepLines w:val="0"/>
              <w:widowControl w:val="0"/>
              <w:numPr>
                <w:ilvl w:val="0"/>
                <w:numId w:val="10"/>
              </w:numPr>
              <w:suppressLineNumbers w:val="0"/>
              <w:suppressAutoHyphens/>
              <w:autoSpaceDE/>
              <w:autoSpaceDN/>
              <w:adjustRightInd/>
              <w:snapToGrid/>
              <w:spacing w:before="0" w:beforeAutospacing="0" w:after="160" w:afterAutospacing="0" w:line="259" w:lineRule="auto"/>
              <w:ind w:left="720" w:leftChars="0" w:right="0" w:hanging="360"/>
              <w:jc w:val="both"/>
              <w:rPr>
                <w:rFonts w:hint="eastAsia" w:ascii="Times New Roman" w:hAnsi="Times New Roman" w:eastAsia="Malgun Gothic" w:cs="Times New Roman"/>
                <w:sz w:val="20"/>
                <w:szCs w:val="24"/>
                <w:lang w:val="en-GB" w:eastAsia="en-US" w:bidi="ar-SA"/>
              </w:rPr>
            </w:pPr>
            <w:r>
              <w:rPr>
                <w:rFonts w:hint="eastAsia" w:ascii="Times New Roman" w:hAnsi="Times New Roman" w:eastAsia="Malgun Gothic" w:cs="Times New Roman"/>
                <w:sz w:val="20"/>
                <w:szCs w:val="24"/>
                <w:lang w:val="en-GB" w:eastAsia="en-US" w:bidi="ar-SA"/>
              </w:rPr>
              <w:t>FFS: Further details</w:t>
            </w:r>
          </w:p>
          <w:p>
            <w:pPr>
              <w:keepNext w:val="0"/>
              <w:keepLines w:val="0"/>
              <w:widowControl w:val="0"/>
              <w:suppressLineNumbers w:val="0"/>
              <w:suppressAutoHyphens/>
              <w:autoSpaceDE/>
              <w:autoSpaceDN/>
              <w:adjustRightInd/>
              <w:snapToGrid/>
              <w:spacing w:before="0" w:beforeAutospacing="0" w:after="160" w:afterAutospacing="0" w:line="259" w:lineRule="auto"/>
              <w:ind w:left="0" w:leftChars="0" w:right="0"/>
              <w:jc w:val="both"/>
              <w:rPr>
                <w:rFonts w:hint="default"/>
                <w:b/>
                <w:i/>
                <w:iCs w:val="0"/>
                <w:strike w:val="0"/>
                <w:dstrike w:val="0"/>
                <w:szCs w:val="20"/>
                <w:vertAlign w:val="baseline"/>
                <w:lang w:val="en-US" w:eastAsia="zh-CN"/>
              </w:rPr>
            </w:pPr>
            <w:r>
              <w:rPr>
                <w:rFonts w:hint="eastAsia" w:ascii="Times New Roman" w:hAnsi="Times New Roman" w:eastAsia="Malgun Gothic" w:cs="Times New Roman"/>
                <w:sz w:val="20"/>
                <w:szCs w:val="24"/>
                <w:lang w:val="en-GB" w:eastAsia="en-US" w:bidi="ar-SA"/>
              </w:rPr>
              <w:t>FFS: Details when two TDD-UL-DL patterns are configured</w:t>
            </w:r>
          </w:p>
        </w:tc>
      </w:tr>
    </w:tbl>
    <w:p>
      <w:pPr>
        <w:rPr>
          <w:rFonts w:hint="default"/>
          <w:b/>
          <w:i/>
          <w:iCs w:val="0"/>
          <w:strike w:val="0"/>
          <w:dstrike w:val="0"/>
          <w:szCs w:val="20"/>
          <w:lang w:val="en-US" w:eastAsia="zh-CN"/>
        </w:rPr>
      </w:pPr>
    </w:p>
    <w:p>
      <w:pPr>
        <w:spacing w:before="120" w:beforeLines="50"/>
        <w:rPr>
          <w:rFonts w:eastAsiaTheme="minorEastAsia"/>
          <w:lang w:eastAsia="zh-CN"/>
        </w:rPr>
      </w:pPr>
      <w:r>
        <w:rPr>
          <w:rFonts w:ascii="Times" w:hAnsi="Times" w:eastAsia="Malgun Gothic"/>
          <w:lang w:eastAsia="zh-CN"/>
        </w:rPr>
        <w:t xml:space="preserve">At least for semi-static SBFD, in order to avoid frequent </w:t>
      </w:r>
      <w:r>
        <w:rPr>
          <w:rFonts w:hint="eastAsia" w:ascii="Times" w:hAnsi="Times"/>
        </w:rPr>
        <w:t>transition</w:t>
      </w:r>
      <w:r>
        <w:rPr>
          <w:rFonts w:ascii="Times" w:hAnsi="Times" w:eastAsia="Malgun Gothic"/>
          <w:lang w:eastAsia="zh-CN"/>
        </w:rPr>
        <w:t xml:space="preserve"> between SBFD and non-SBFD symbols, potential limitation on the maximum number of transition points between SBFD and non-SBFD symbols can be considered from SBFD subband configuration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r>
        <w:rPr>
          <w:rFonts w:hint="eastAsia" w:ascii="Times" w:hAnsi="Times"/>
        </w:rPr>
        <w:t xml:space="preserve"> </w:t>
      </w:r>
      <w:r>
        <w:rPr>
          <w:rFonts w:hint="eastAsia" w:eastAsiaTheme="minorEastAsia"/>
          <w:lang w:val="en-US" w:eastAsia="zh-CN"/>
        </w:rPr>
        <w:t xml:space="preserve">In current specification, </w:t>
      </w:r>
      <w:r>
        <w:rPr>
          <w:rFonts w:eastAsiaTheme="minorEastAsia"/>
          <w:lang w:eastAsia="zh-CN"/>
        </w:rPr>
        <w:t>the minimum granularity of TDD configuration, time domain resource allocation and collision handling etc. are symbol level and the same granularity should be followed for SBFD operation.</w:t>
      </w:r>
    </w:p>
    <w:p>
      <w:pPr>
        <w:spacing w:before="120" w:beforeLines="50"/>
        <w:rPr>
          <w:rFonts w:hint="default" w:eastAsiaTheme="minorEastAsia"/>
          <w:lang w:val="en-US" w:eastAsia="zh-CN"/>
        </w:rPr>
      </w:pPr>
      <w:r>
        <w:rPr>
          <w:rFonts w:hint="eastAsia" w:eastAsiaTheme="minorEastAsia"/>
          <w:lang w:val="en-US" w:eastAsia="zh-CN"/>
        </w:rPr>
        <w:t xml:space="preserve">Two options are agreed for further study in RAN1#116 meeting. Clearly, if the integer multiple in option 2 can be set to one, then option 1 is a subset of option 2. Therefore, option 2 can provide more configuration flexibility.  </w:t>
      </w:r>
    </w:p>
    <w:p>
      <w:pPr>
        <w:rPr>
          <w:rFonts w:hint="default"/>
          <w:b w:val="0"/>
          <w:bCs/>
          <w:i w:val="0"/>
          <w:iCs/>
          <w:strike w:val="0"/>
          <w:dstrike w:val="0"/>
          <w:szCs w:val="20"/>
          <w:lang w:val="en-US" w:eastAsia="zh-CN"/>
        </w:rPr>
      </w:pPr>
      <w:r>
        <w:rPr>
          <w:rFonts w:hint="eastAsia"/>
          <w:b/>
          <w:i/>
          <w:iCs w:val="0"/>
          <w:strike w:val="0"/>
          <w:dstrike w:val="0"/>
          <w:szCs w:val="20"/>
          <w:lang w:val="en-US" w:eastAsia="zh-CN"/>
        </w:rPr>
        <w:t>Proposal 4: The period of the SBFD symbol can be integer multiple of the TDD UL/DL pattern period configuration.</w:t>
      </w:r>
      <w:bookmarkStart w:id="5" w:name="OLE_LINK2"/>
    </w:p>
    <w:bookmarkEnd w:id="5"/>
    <w:p>
      <w:pPr>
        <w:rPr>
          <w:rFonts w:hint="default"/>
          <w:b/>
          <w:i/>
          <w:iCs w:val="0"/>
          <w:strike w:val="0"/>
          <w:dstrike w:val="0"/>
          <w:szCs w:val="20"/>
          <w:lang w:val="en-US" w:eastAsia="zh-CN"/>
        </w:rPr>
      </w:pPr>
    </w:p>
    <w:p>
      <w:pPr>
        <w:pStyle w:val="3"/>
        <w:bidi w:val="0"/>
        <w:ind w:left="431" w:leftChars="0" w:hanging="431" w:firstLineChars="0"/>
        <w:rPr>
          <w:rFonts w:hint="eastAsia"/>
          <w:lang w:val="en-US" w:eastAsia="zh-CN"/>
        </w:rPr>
      </w:pPr>
      <w:r>
        <w:rPr>
          <w:rFonts w:hint="eastAsia"/>
          <w:lang w:val="en-US" w:eastAsia="zh-CN"/>
        </w:rPr>
        <w:t>Tx/Rx/measurement procedure</w:t>
      </w: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default"/>
          <w:lang w:val="en-US" w:eastAsia="zh-CN"/>
        </w:rPr>
      </w:pPr>
      <w:r>
        <w:rPr>
          <w:rFonts w:hint="eastAsia"/>
          <w:lang w:val="en-US" w:eastAsia="zh-CN"/>
        </w:rPr>
        <w:t>Enhancement on resource allocation in frequency domain in SBFD symbols</w:t>
      </w:r>
    </w:p>
    <w:p>
      <w:pPr>
        <w:pStyle w:val="55"/>
        <w:numPr>
          <w:ilvl w:val="0"/>
          <w:numId w:val="11"/>
        </w:numPr>
        <w:spacing w:before="0" w:beforeLines="0" w:after="120" w:line="240" w:lineRule="auto"/>
        <w:ind w:firstLineChars="0"/>
        <w:rPr>
          <w:b/>
        </w:rPr>
      </w:pPr>
      <w:r>
        <w:rPr>
          <w:b/>
        </w:rPr>
        <w:t xml:space="preserve">Resource allocation in frequency domain for PDSCH/CSI-RS across two DL subbands in SBFD symbols </w:t>
      </w:r>
    </w:p>
    <w:p>
      <w:pPr>
        <w:spacing w:before="0" w:beforeLines="0" w:after="120" w:line="240" w:lineRule="auto"/>
        <w:rPr>
          <w:rFonts w:hint="eastAsia"/>
        </w:rPr>
      </w:pPr>
      <w:r>
        <w:rPr>
          <w:rFonts w:hint="eastAsia"/>
        </w:rPr>
        <w:t xml:space="preserve">For PDSCH, if the PRG is determined to be wideband, the following two options are </w:t>
      </w:r>
      <w:r>
        <w:rPr>
          <w:rFonts w:hint="eastAsia"/>
          <w:lang w:val="en-US" w:eastAsia="zh-CN"/>
        </w:rPr>
        <w:t>proposed and discussed [3]</w:t>
      </w:r>
      <w:r>
        <w:rPr>
          <w:rFonts w:hint="eastAsia"/>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numPr>
                <w:ilvl w:val="0"/>
                <w:numId w:val="10"/>
              </w:numPr>
              <w:suppressLineNumbers w:val="0"/>
              <w:suppressAutoHyphens/>
              <w:autoSpaceDE/>
              <w:autoSpaceDN/>
              <w:adjustRightInd/>
              <w:snapToGrid/>
              <w:spacing w:before="0" w:beforeAutospacing="0" w:after="160" w:afterAutospacing="0" w:line="259" w:lineRule="auto"/>
              <w:ind w:left="720" w:leftChars="0" w:right="0" w:hanging="360"/>
              <w:jc w:val="both"/>
              <w:rPr>
                <w:rFonts w:hint="eastAsia" w:ascii="Times New Roman" w:hAnsi="Times New Roman" w:eastAsia="Malgun Gothic" w:cs="Times New Roman"/>
                <w:sz w:val="22"/>
                <w:szCs w:val="32"/>
                <w:lang w:val="en-GB" w:eastAsia="zh-CN" w:bidi="ar-SA"/>
              </w:rPr>
            </w:pPr>
            <w:r>
              <w:rPr>
                <w:rFonts w:hint="eastAsia" w:ascii="Times New Roman" w:hAnsi="Times New Roman" w:eastAsia="Malgun Gothic" w:cs="Times New Roman"/>
                <w:sz w:val="22"/>
                <w:szCs w:val="32"/>
                <w:lang w:val="en-GB" w:eastAsia="zh-CN" w:bidi="ar-SA"/>
              </w:rPr>
              <w:t>Option 1: Frequency resources that are not contiguous between the two DL sub-bands can be allocated, but frequency resources that are contiguous within each DL sub-band can be allocated</w:t>
            </w:r>
          </w:p>
          <w:p>
            <w:pPr>
              <w:keepNext w:val="0"/>
              <w:keepLines w:val="0"/>
              <w:widowControl w:val="0"/>
              <w:numPr>
                <w:ilvl w:val="0"/>
                <w:numId w:val="10"/>
              </w:numPr>
              <w:suppressLineNumbers w:val="0"/>
              <w:suppressAutoHyphens/>
              <w:autoSpaceDE/>
              <w:autoSpaceDN/>
              <w:adjustRightInd/>
              <w:snapToGrid/>
              <w:spacing w:before="0" w:beforeAutospacing="0" w:after="160" w:afterAutospacing="0" w:line="259" w:lineRule="auto"/>
              <w:ind w:left="720" w:leftChars="0" w:right="0" w:hanging="360"/>
              <w:jc w:val="both"/>
              <w:rPr>
                <w:rFonts w:hint="eastAsia"/>
                <w:vertAlign w:val="baseline"/>
              </w:rPr>
            </w:pPr>
            <w:r>
              <w:rPr>
                <w:rFonts w:hint="eastAsia" w:ascii="Times New Roman" w:hAnsi="Times New Roman" w:eastAsia="Malgun Gothic" w:cs="Times New Roman"/>
                <w:sz w:val="22"/>
                <w:szCs w:val="32"/>
                <w:lang w:val="en-GB" w:eastAsia="zh-CN" w:bidi="ar-SA"/>
              </w:rPr>
              <w:t>Option 2: It is not possible to allocate frequency resources that are not contiguous in the two DL sub-bands.</w:t>
            </w:r>
          </w:p>
        </w:tc>
      </w:tr>
    </w:tbl>
    <w:p>
      <w:pPr>
        <w:spacing w:before="0" w:beforeLines="0" w:after="120" w:line="240" w:lineRule="auto"/>
        <w:rPr>
          <w:rFonts w:hint="eastAsia"/>
        </w:rPr>
      </w:pPr>
    </w:p>
    <w:p>
      <w:pPr>
        <w:spacing w:before="0" w:beforeLines="0" w:after="120" w:line="240" w:lineRule="auto"/>
      </w:pPr>
      <w:r>
        <w:rPr>
          <w:rFonts w:hint="eastAsia"/>
        </w:rPr>
        <w:t>Compared with Option 2</w:t>
      </w:r>
      <w:r>
        <w:rPr>
          <w:rFonts w:hint="eastAsia"/>
          <w:lang w:val="en-US" w:eastAsia="zh-CN"/>
        </w:rPr>
        <w:t>,</w:t>
      </w:r>
      <w:r>
        <w:rPr>
          <w:rFonts w:hint="eastAsia"/>
        </w:rPr>
        <w:t xml:space="preserve"> Option 1 could achieve higher DL data rates</w:t>
      </w:r>
      <w:r>
        <w:rPr>
          <w:rFonts w:hint="eastAsia"/>
          <w:lang w:val="en-US" w:eastAsia="zh-CN"/>
        </w:rPr>
        <w:t xml:space="preserve"> and </w:t>
      </w:r>
      <w:r>
        <w:rPr>
          <w:rFonts w:hint="eastAsia"/>
        </w:rPr>
        <w:t>better scheduling flexibility</w:t>
      </w:r>
      <w:r>
        <w:rPr>
          <w:rFonts w:hint="eastAsia"/>
          <w:lang w:val="en-US" w:eastAsia="zh-CN"/>
        </w:rPr>
        <w:t>.</w:t>
      </w:r>
      <w:r>
        <w:rPr>
          <w:rFonts w:hint="eastAsia"/>
        </w:rPr>
        <w:t xml:space="preserve"> </w:t>
      </w:r>
      <w:r>
        <w:rPr>
          <w:rFonts w:hint="eastAsia"/>
          <w:lang w:val="en-US" w:eastAsia="zh-CN"/>
        </w:rPr>
        <w:t>In the other hand</w:t>
      </w:r>
      <w:r>
        <w:rPr>
          <w:rFonts w:hint="eastAsia"/>
        </w:rPr>
        <w:t xml:space="preserve">, </w:t>
      </w:r>
      <w:r>
        <w:rPr>
          <w:rFonts w:hint="eastAsia"/>
          <w:lang w:val="en-US" w:eastAsia="zh-CN"/>
        </w:rPr>
        <w:t xml:space="preserve">in </w:t>
      </w:r>
      <w:r>
        <w:rPr>
          <w:rFonts w:hint="eastAsia"/>
        </w:rPr>
        <w:t>Option 1</w:t>
      </w:r>
      <w:r>
        <w:rPr>
          <w:rFonts w:hint="eastAsia"/>
          <w:lang w:val="en-US" w:eastAsia="zh-CN"/>
        </w:rPr>
        <w:t xml:space="preserve">, </w:t>
      </w:r>
      <w:r>
        <w:rPr>
          <w:rFonts w:hint="eastAsia"/>
        </w:rPr>
        <w:t>UE</w:t>
      </w:r>
      <w:r>
        <w:rPr>
          <w:rFonts w:hint="eastAsia"/>
          <w:lang w:val="en-US" w:eastAsia="zh-CN"/>
        </w:rPr>
        <w:t xml:space="preserve"> need</w:t>
      </w:r>
      <w:r>
        <w:rPr>
          <w:rFonts w:hint="eastAsia"/>
        </w:rPr>
        <w:t xml:space="preserve"> to </w:t>
      </w:r>
      <w:r>
        <w:rPr>
          <w:rFonts w:hint="eastAsia"/>
          <w:lang w:val="en-US" w:eastAsia="zh-CN"/>
        </w:rPr>
        <w:t>perform channel estimation in</w:t>
      </w:r>
      <w:r>
        <w:rPr>
          <w:rFonts w:hint="eastAsia"/>
        </w:rPr>
        <w:t xml:space="preserve"> two non-contiguous segments of contiguous RBs</w:t>
      </w:r>
      <w:r>
        <w:rPr>
          <w:rFonts w:hint="eastAsia"/>
          <w:lang w:val="en-US" w:eastAsia="zh-CN"/>
        </w:rPr>
        <w:t>.</w:t>
      </w:r>
      <w:r>
        <w:rPr>
          <w:rFonts w:hint="eastAsia"/>
        </w:rPr>
        <w:t xml:space="preserve"> which may increase the complexity of UE channel estimation. However, the complexity of UE channel estimation for Option 1</w:t>
      </w:r>
      <w:r>
        <w:rPr>
          <w:rFonts w:hint="eastAsia"/>
          <w:lang w:val="en-US" w:eastAsia="zh-CN"/>
        </w:rPr>
        <w:t xml:space="preserve"> is similar to that when</w:t>
      </w:r>
      <w:r>
        <w:rPr>
          <w:rFonts w:hint="eastAsia"/>
        </w:rPr>
        <w:t xml:space="preserve"> PRGs of size</w:t>
      </w:r>
      <w:r>
        <w:rPr>
          <w:rFonts w:hint="eastAsia"/>
          <w:lang w:val="en-US" w:eastAsia="zh-CN"/>
        </w:rPr>
        <w:t xml:space="preserve"> are</w:t>
      </w:r>
      <w:r>
        <w:rPr>
          <w:rFonts w:hint="eastAsia"/>
        </w:rPr>
        <w:t xml:space="preserve"> </w:t>
      </w:r>
      <w:r>
        <w:rPr>
          <w:rFonts w:hint="eastAsia"/>
          <w:lang w:val="en-US" w:eastAsia="zh-CN"/>
        </w:rPr>
        <w:t xml:space="preserve">set to </w:t>
      </w:r>
      <w:r>
        <w:rPr>
          <w:rFonts w:hint="eastAsia"/>
        </w:rPr>
        <w:t>2 or 4.</w:t>
      </w:r>
    </w:p>
    <w:p>
      <w:pPr>
        <w:spacing w:before="0" w:beforeLines="0" w:after="120" w:line="240" w:lineRule="auto"/>
        <w:rPr>
          <w:b/>
          <w:bCs/>
          <w:i/>
          <w:iCs w:val="0"/>
        </w:rPr>
      </w:pPr>
      <w:r>
        <w:rPr>
          <w:rFonts w:cs="Times New Roman"/>
          <w:b/>
          <w:i/>
        </w:rPr>
        <w:t xml:space="preserve">Proposal </w:t>
      </w:r>
      <w:r>
        <w:rPr>
          <w:rFonts w:hint="eastAsia" w:cs="Times New Roman"/>
          <w:b/>
          <w:i/>
          <w:lang w:val="en-US" w:eastAsia="zh-CN"/>
        </w:rPr>
        <w:t>5</w:t>
      </w:r>
      <w:r>
        <w:rPr>
          <w:rFonts w:cs="Times New Roman"/>
          <w:b/>
          <w:i/>
        </w:rPr>
        <w:t xml:space="preserve">: </w:t>
      </w:r>
      <w:r>
        <w:rPr>
          <w:rFonts w:cs="Times New Roman"/>
          <w:b/>
          <w:bCs/>
          <w:i/>
          <w:iCs w:val="0"/>
        </w:rPr>
        <w:t>For</w:t>
      </w:r>
      <w:r>
        <w:rPr>
          <w:b/>
          <w:bCs/>
          <w:i/>
          <w:iCs w:val="0"/>
        </w:rPr>
        <w:t xml:space="preserve"> PDSCH, if PRG is determined </w:t>
      </w:r>
      <w:r>
        <w:rPr>
          <w:rFonts w:hint="eastAsia"/>
          <w:b/>
          <w:bCs/>
          <w:i/>
          <w:iCs w:val="0"/>
          <w:lang w:val="en-US" w:eastAsia="zh-CN"/>
        </w:rPr>
        <w:t>to be</w:t>
      </w:r>
      <w:r>
        <w:rPr>
          <w:b/>
          <w:bCs/>
          <w:i/>
          <w:iCs w:val="0"/>
        </w:rPr>
        <w:t xml:space="preserve"> wideband, </w:t>
      </w:r>
      <w:r>
        <w:rPr>
          <w:rFonts w:hint="eastAsia"/>
          <w:b/>
          <w:bCs/>
          <w:i/>
          <w:iCs w:val="0"/>
          <w:lang w:val="en-US" w:eastAsia="zh-CN"/>
        </w:rPr>
        <w:t>Option 1</w:t>
      </w:r>
      <w:r>
        <w:rPr>
          <w:b/>
          <w:bCs/>
          <w:i/>
          <w:iCs w:val="0"/>
        </w:rPr>
        <w:t xml:space="preserve"> </w:t>
      </w:r>
      <w:r>
        <w:rPr>
          <w:rFonts w:hint="eastAsia"/>
          <w:b/>
          <w:bCs/>
          <w:i/>
          <w:iCs w:val="0"/>
          <w:lang w:val="en-US" w:eastAsia="zh-CN"/>
        </w:rPr>
        <w:t>should be</w:t>
      </w:r>
      <w:r>
        <w:rPr>
          <w:b/>
          <w:bCs/>
          <w:i/>
          <w:iCs w:val="0"/>
        </w:rPr>
        <w:t xml:space="preserve"> supported</w:t>
      </w:r>
    </w:p>
    <w:p>
      <w:pPr>
        <w:pStyle w:val="55"/>
        <w:numPr>
          <w:ilvl w:val="0"/>
          <w:numId w:val="12"/>
        </w:numPr>
        <w:spacing w:before="0" w:beforeLines="0" w:after="120" w:line="240" w:lineRule="auto"/>
        <w:ind w:firstLineChars="0"/>
        <w:rPr>
          <w:b/>
          <w:bCs/>
          <w:i/>
          <w:iCs w:val="0"/>
        </w:rPr>
      </w:pPr>
      <w:r>
        <w:rPr>
          <w:b/>
          <w:bCs/>
          <w:i/>
          <w:iCs w:val="0"/>
        </w:rPr>
        <w:t>Option 1: non-contiguous frequency resources across two DL subbands but contiguous frequency resource within each DL subband can be allocated.</w:t>
      </w:r>
    </w:p>
    <w:p>
      <w:pPr>
        <w:pStyle w:val="55"/>
        <w:numPr>
          <w:ilvl w:val="0"/>
          <w:numId w:val="0"/>
        </w:numPr>
        <w:spacing w:before="0" w:beforeLines="0" w:after="120" w:line="240" w:lineRule="auto"/>
        <w:ind w:leftChars="0"/>
        <w:rPr>
          <w:i/>
        </w:rPr>
      </w:pPr>
    </w:p>
    <w:p>
      <w:pPr>
        <w:widowControl/>
        <w:autoSpaceDE w:val="0"/>
        <w:autoSpaceDN w:val="0"/>
        <w:spacing w:before="0" w:beforeLines="0" w:after="120" w:line="240" w:lineRule="auto"/>
      </w:pPr>
      <w:r>
        <w:rPr>
          <w:rFonts w:hint="eastAsia"/>
          <w:lang w:val="en-US" w:eastAsia="zh-CN"/>
        </w:rPr>
        <w:t>Regarding</w:t>
      </w:r>
      <w:r>
        <w:t xml:space="preserve"> resource allocation for CSI-RS across DL subbands </w:t>
      </w:r>
      <w:r>
        <w:rPr>
          <w:rFonts w:hint="eastAsia"/>
          <w:lang w:val="en-US" w:eastAsia="zh-CN"/>
        </w:rPr>
        <w:t>in</w:t>
      </w:r>
      <w:r>
        <w:t xml:space="preserve"> SBF</w:t>
      </w:r>
      <w:r>
        <w:rPr>
          <w:rFonts w:hint="eastAsia"/>
          <w:lang w:val="en-US" w:eastAsia="zh-CN"/>
        </w:rPr>
        <w:t>D</w:t>
      </w:r>
      <w:r>
        <w:t xml:space="preserve"> </w:t>
      </w:r>
      <w:r>
        <w:rPr>
          <w:rFonts w:hint="eastAsia"/>
          <w:lang w:val="en-US" w:eastAsia="zh-CN"/>
        </w:rPr>
        <w:t>symbol</w:t>
      </w:r>
      <w:r>
        <w:t>s</w:t>
      </w:r>
      <w:r>
        <w:rPr>
          <w:rFonts w:hint="eastAsia"/>
          <w:lang w:eastAsia="zh-CN"/>
        </w:rPr>
        <w:t>，</w:t>
      </w:r>
      <w:r>
        <w:rPr>
          <w:rFonts w:hint="eastAsia"/>
          <w:lang w:val="en-US" w:eastAsia="zh-CN"/>
        </w:rPr>
        <w:t>the following three options</w:t>
      </w:r>
      <w:r>
        <w:t xml:space="preserve"> </w:t>
      </w:r>
      <w:r>
        <w:rPr>
          <w:rFonts w:hint="eastAsia"/>
          <w:lang w:val="en-US" w:eastAsia="zh-CN"/>
        </w:rPr>
        <w:t>a</w:t>
      </w:r>
      <w:r>
        <w:t xml:space="preserve">re </w:t>
      </w:r>
      <w:r>
        <w:rPr>
          <w:rFonts w:hint="eastAsia"/>
          <w:lang w:val="en-US" w:eastAsia="zh-CN"/>
        </w:rPr>
        <w:t>proposed and discussed [3]</w:t>
      </w:r>
      <w:r>
        <w:t>.</w:t>
      </w:r>
    </w:p>
    <w:tbl>
      <w:tblPr>
        <w:tblStyle w:val="30"/>
        <w:tblW w:w="93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0" w:hRule="atLeast"/>
        </w:trPr>
        <w:tc>
          <w:tcPr>
            <w:tcW w:w="9305" w:type="dxa"/>
          </w:tcPr>
          <w:p>
            <w:pPr>
              <w:pStyle w:val="41"/>
              <w:keepNext w:val="0"/>
              <w:keepLines w:val="0"/>
              <w:widowControl w:val="0"/>
              <w:suppressLineNumbers w:val="0"/>
              <w:autoSpaceDE w:val="0"/>
              <w:autoSpaceDN w:val="0"/>
              <w:adjustRightInd w:val="0"/>
              <w:snapToGrid w:val="0"/>
              <w:spacing w:before="0" w:beforeAutospacing="0" w:after="120" w:afterAutospacing="0"/>
              <w:ind w:right="0"/>
              <w:rPr>
                <w:rFonts w:hint="eastAsia"/>
                <w:sz w:val="22"/>
              </w:rPr>
            </w:pPr>
            <w:r>
              <w:rPr>
                <w:rFonts w:hint="eastAsia"/>
                <w:sz w:val="22"/>
              </w:rPr>
              <w:t>-</w:t>
            </w:r>
            <w:r>
              <w:rPr>
                <w:rFonts w:hint="eastAsia"/>
                <w:sz w:val="22"/>
              </w:rPr>
              <w:tab/>
            </w:r>
            <w:r>
              <w:rPr>
                <w:rFonts w:hint="eastAsia"/>
                <w:sz w:val="22"/>
              </w:rPr>
              <w:t>Option 1: Two contiguous CSI-RS resources that are linked</w:t>
            </w:r>
          </w:p>
          <w:p>
            <w:pPr>
              <w:pStyle w:val="41"/>
              <w:keepNext w:val="0"/>
              <w:keepLines w:val="0"/>
              <w:widowControl w:val="0"/>
              <w:suppressLineNumbers w:val="0"/>
              <w:autoSpaceDE w:val="0"/>
              <w:autoSpaceDN w:val="0"/>
              <w:spacing w:before="93" w:beforeAutospacing="0" w:afterAutospacing="0"/>
              <w:ind w:right="0"/>
              <w:rPr>
                <w:rFonts w:hint="eastAsia"/>
                <w:sz w:val="22"/>
              </w:rPr>
            </w:pPr>
            <w:r>
              <w:rPr>
                <w:rFonts w:hint="eastAsia"/>
                <w:sz w:val="22"/>
              </w:rPr>
              <w:t>-</w:t>
            </w:r>
            <w:r>
              <w:rPr>
                <w:rFonts w:hint="eastAsia"/>
                <w:sz w:val="22"/>
              </w:rPr>
              <w:tab/>
            </w:r>
            <w:r>
              <w:rPr>
                <w:rFonts w:hint="eastAsia"/>
                <w:sz w:val="22"/>
              </w:rPr>
              <w:t>Option 2: One CSI-RS resource</w:t>
            </w:r>
          </w:p>
          <w:p>
            <w:pPr>
              <w:pStyle w:val="38"/>
              <w:keepNext w:val="0"/>
              <w:keepLines w:val="0"/>
              <w:widowControl w:val="0"/>
              <w:suppressLineNumbers w:val="0"/>
              <w:autoSpaceDE w:val="0"/>
              <w:autoSpaceDN w:val="0"/>
              <w:spacing w:before="93" w:beforeAutospacing="0" w:afterAutospacing="0"/>
              <w:ind w:right="0"/>
              <w:rPr>
                <w:rFonts w:hint="eastAsia"/>
                <w:sz w:val="22"/>
              </w:rPr>
            </w:pPr>
            <w:r>
              <w:rPr>
                <w:rFonts w:hint="eastAsia"/>
                <w:sz w:val="22"/>
              </w:rPr>
              <w:t>-</w:t>
            </w:r>
            <w:r>
              <w:rPr>
                <w:rFonts w:hint="eastAsia"/>
                <w:sz w:val="22"/>
              </w:rPr>
              <w:tab/>
            </w:r>
            <w:r>
              <w:rPr>
                <w:rFonts w:hint="eastAsia"/>
                <w:sz w:val="22"/>
              </w:rPr>
              <w:t>Option 2-1: Non-contiguous CSI-RS resource allocation</w:t>
            </w:r>
          </w:p>
          <w:p>
            <w:pPr>
              <w:pStyle w:val="38"/>
              <w:keepNext w:val="0"/>
              <w:keepLines w:val="0"/>
              <w:widowControl w:val="0"/>
              <w:suppressLineNumbers w:val="0"/>
              <w:autoSpaceDE w:val="0"/>
              <w:autoSpaceDN w:val="0"/>
              <w:spacing w:before="93" w:beforeAutospacing="0" w:afterAutospacing="0"/>
              <w:ind w:right="0"/>
              <w:rPr>
                <w:rFonts w:hint="eastAsia"/>
                <w:sz w:val="22"/>
              </w:rPr>
            </w:pPr>
            <w:r>
              <w:rPr>
                <w:rFonts w:hint="eastAsia"/>
                <w:sz w:val="22"/>
              </w:rPr>
              <w:t>-</w:t>
            </w:r>
            <w:r>
              <w:rPr>
                <w:rFonts w:hint="eastAsia"/>
                <w:sz w:val="22"/>
              </w:rPr>
              <w:tab/>
            </w:r>
            <w:r>
              <w:rPr>
                <w:rFonts w:hint="eastAsia"/>
                <w:sz w:val="22"/>
              </w:rPr>
              <w:t xml:space="preserve">Option 2-2: One contiguous CSI-RS resource allocation with non-contiguous CSI-RS resource derived by excluding frequency resources outside DL subband (s) </w:t>
            </w:r>
          </w:p>
        </w:tc>
      </w:tr>
    </w:tbl>
    <w:p>
      <w:pPr>
        <w:widowControl/>
        <w:autoSpaceDE w:val="0"/>
        <w:autoSpaceDN w:val="0"/>
        <w:spacing w:before="0" w:beforeLines="0" w:after="120" w:line="240" w:lineRule="auto"/>
        <w:rPr>
          <w:rFonts w:hint="eastAsia"/>
        </w:rPr>
      </w:pPr>
    </w:p>
    <w:p>
      <w:pPr>
        <w:widowControl/>
        <w:autoSpaceDE w:val="0"/>
        <w:autoSpaceDN w:val="0"/>
        <w:spacing w:before="0" w:beforeLines="0" w:after="120" w:line="240" w:lineRule="auto"/>
        <w:rPr>
          <w:rFonts w:hint="eastAsia"/>
        </w:rPr>
      </w:pPr>
      <w:r>
        <w:rPr>
          <w:rFonts w:hint="eastAsia"/>
        </w:rPr>
        <w:t>Option 1 uses two contiguous CSI-RS resources, each mapped to a different DL subband. However, it differs significantly from existing CSI-RS configuration and CSI reporting framework and requires additional standardization work.</w:t>
      </w:r>
      <w:r>
        <w:rPr>
          <w:rFonts w:hint="eastAsia"/>
          <w:lang w:val="en-US" w:eastAsia="zh-CN"/>
        </w:rPr>
        <w:t xml:space="preserve"> Option 2-1 uses a non-contiguous CSI-RS resource configuration with a single resource across DL subbands. Option 2-2, on the other hand, uses the same contiguous CSI-RS resource across both DL subbands, excluding frequency resources outside the subbands. Compared to Option 2-2, Option 2-1 provides better flexibility because CSI-RS resources can be placed anywhere within the subbands. But this option is less efficient in resource utilization though.</w:t>
      </w:r>
    </w:p>
    <w:p>
      <w:pPr>
        <w:widowControl/>
        <w:autoSpaceDE w:val="0"/>
        <w:autoSpaceDN w:val="0"/>
        <w:spacing w:before="0" w:beforeLines="0" w:after="120" w:line="240" w:lineRule="auto"/>
        <w:rPr>
          <w:b/>
          <w:bCs/>
          <w:i/>
        </w:rPr>
      </w:pPr>
      <w:r>
        <w:rPr>
          <w:b/>
          <w:i/>
        </w:rPr>
        <w:t xml:space="preserve">Proposal </w:t>
      </w:r>
      <w:r>
        <w:rPr>
          <w:rFonts w:hint="eastAsia"/>
          <w:b/>
          <w:i/>
          <w:lang w:val="en-US" w:eastAsia="zh-CN"/>
        </w:rPr>
        <w:t>6</w:t>
      </w:r>
      <w:r>
        <w:rPr>
          <w:b/>
          <w:i/>
        </w:rPr>
        <w:t>:</w:t>
      </w:r>
      <w:r>
        <w:rPr>
          <w:i/>
        </w:rPr>
        <w:t xml:space="preserve"> </w:t>
      </w:r>
      <w:r>
        <w:rPr>
          <w:rFonts w:hint="eastAsia"/>
          <w:b/>
          <w:bCs/>
          <w:i/>
          <w:lang w:val="en-US" w:eastAsia="zh-CN"/>
        </w:rPr>
        <w:t>F</w:t>
      </w:r>
      <w:r>
        <w:rPr>
          <w:b/>
          <w:bCs/>
          <w:i/>
        </w:rPr>
        <w:t xml:space="preserve">or CSI-RS resource allocation across DL subbands </w:t>
      </w:r>
      <w:r>
        <w:rPr>
          <w:rFonts w:hint="eastAsia"/>
          <w:b/>
          <w:bCs/>
          <w:i/>
          <w:lang w:val="en-US" w:eastAsia="zh-CN"/>
        </w:rPr>
        <w:t>in</w:t>
      </w:r>
      <w:r>
        <w:rPr>
          <w:b/>
          <w:bCs/>
          <w:i/>
        </w:rPr>
        <w:t xml:space="preserve"> SBF</w:t>
      </w:r>
      <w:r>
        <w:rPr>
          <w:rFonts w:hint="eastAsia"/>
          <w:b/>
          <w:bCs/>
          <w:i/>
          <w:lang w:val="en-US" w:eastAsia="zh-CN"/>
        </w:rPr>
        <w:t>D</w:t>
      </w:r>
      <w:r>
        <w:rPr>
          <w:b/>
          <w:bCs/>
          <w:i/>
        </w:rPr>
        <w:t xml:space="preserve"> </w:t>
      </w:r>
      <w:r>
        <w:rPr>
          <w:rFonts w:hint="eastAsia"/>
          <w:b/>
          <w:bCs/>
          <w:i/>
          <w:lang w:val="en-US" w:eastAsia="zh-CN"/>
        </w:rPr>
        <w:t>symbol</w:t>
      </w:r>
      <w:r>
        <w:rPr>
          <w:b/>
          <w:bCs/>
          <w:i/>
        </w:rPr>
        <w:t>s</w:t>
      </w:r>
      <w:r>
        <w:rPr>
          <w:rFonts w:hint="eastAsia"/>
          <w:b/>
          <w:bCs/>
          <w:i/>
          <w:lang w:val="en-US" w:eastAsia="zh-CN"/>
        </w:rPr>
        <w:t xml:space="preserve">, </w:t>
      </w:r>
      <w:r>
        <w:rPr>
          <w:b/>
          <w:bCs/>
          <w:i/>
        </w:rPr>
        <w:t>Option 2-1</w:t>
      </w:r>
      <w:r>
        <w:rPr>
          <w:rFonts w:hint="eastAsia"/>
          <w:b/>
          <w:bCs/>
          <w:i/>
          <w:lang w:val="en-US" w:eastAsia="zh-CN"/>
        </w:rPr>
        <w:t xml:space="preserve"> should be s</w:t>
      </w:r>
      <w:r>
        <w:rPr>
          <w:b/>
          <w:bCs/>
          <w:i/>
        </w:rPr>
        <w:t>upport</w:t>
      </w:r>
      <w:r>
        <w:rPr>
          <w:rFonts w:hint="eastAsia"/>
          <w:b/>
          <w:bCs/>
          <w:i/>
          <w:lang w:val="en-US" w:eastAsia="zh-CN"/>
        </w:rPr>
        <w:t>ed</w:t>
      </w:r>
      <w:r>
        <w:rPr>
          <w:b/>
          <w:bCs/>
          <w:i/>
        </w:rPr>
        <w:t>.</w:t>
      </w:r>
    </w:p>
    <w:p>
      <w:pPr>
        <w:pStyle w:val="55"/>
        <w:numPr>
          <w:ilvl w:val="0"/>
          <w:numId w:val="12"/>
        </w:numPr>
        <w:spacing w:before="0" w:beforeLines="0" w:after="120" w:line="240" w:lineRule="auto"/>
        <w:ind w:firstLineChars="0"/>
        <w:rPr>
          <w:b/>
          <w:bCs/>
          <w:i/>
        </w:rPr>
      </w:pPr>
      <w:r>
        <w:rPr>
          <w:b/>
          <w:bCs/>
          <w:i/>
        </w:rPr>
        <w:t>Option 2-1: non-consecutive CSI-RS frequency-domain resources allocation across two DL subbands by one CSI-RS resource.</w:t>
      </w:r>
    </w:p>
    <w:p>
      <w:pPr>
        <w:spacing w:before="120" w:beforeLines="50"/>
        <w:rPr>
          <w:rFonts w:hint="default" w:ascii="Times" w:hAnsi="Times" w:eastAsia="Malgun Gothic"/>
          <w:lang w:val="en-US" w:eastAsia="zh-CN"/>
        </w:rPr>
      </w:pPr>
    </w:p>
    <w:p>
      <w:pPr>
        <w:pStyle w:val="55"/>
        <w:numPr>
          <w:ilvl w:val="0"/>
          <w:numId w:val="11"/>
        </w:numPr>
        <w:spacing w:before="0" w:beforeLines="0" w:after="120" w:line="240" w:lineRule="auto"/>
        <w:ind w:firstLineChars="0"/>
        <w:rPr>
          <w:rFonts w:hint="default" w:ascii="Times" w:hAnsi="Times" w:eastAsia="Malgun Gothic"/>
          <w:lang w:val="en-US" w:eastAsia="zh-CN"/>
        </w:rPr>
      </w:pPr>
      <w:r>
        <w:rPr>
          <w:b/>
          <w:lang w:eastAsia="zh-CN"/>
        </w:rPr>
        <w:t xml:space="preserve">PDSCH </w:t>
      </w:r>
      <w:r>
        <w:rPr>
          <w:rFonts w:hint="eastAsia"/>
          <w:b/>
          <w:lang w:val="en-US" w:eastAsia="zh-CN"/>
        </w:rPr>
        <w:t>r</w:t>
      </w:r>
      <w:r>
        <w:rPr>
          <w:b/>
        </w:rPr>
        <w:t>esource allocation</w:t>
      </w:r>
      <w:r>
        <w:rPr>
          <w:b/>
          <w:lang w:eastAsia="zh-CN"/>
        </w:rPr>
        <w:t xml:space="preserve"> type 1</w:t>
      </w:r>
    </w:p>
    <w:p>
      <w:pPr>
        <w:rPr>
          <w:rFonts w:hint="default" w:ascii="Times" w:hAnsi="Times" w:eastAsia="Malgun Gothic"/>
          <w:lang w:val="en-US" w:eastAsia="zh-CN"/>
        </w:rPr>
      </w:pPr>
      <w:r>
        <w:rPr>
          <w:rFonts w:hint="eastAsia"/>
          <w:b w:val="0"/>
          <w:bCs/>
          <w:i w:val="0"/>
          <w:iCs/>
          <w:strike w:val="0"/>
          <w:dstrike w:val="0"/>
          <w:szCs w:val="20"/>
          <w:lang w:val="en-US" w:eastAsia="zh-CN"/>
        </w:rPr>
        <w:t>In last meeting, the following agreement was achieved [4].</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Malgun Gothic" w:cs="Times New Roman"/>
                <w:b/>
                <w:sz w:val="22"/>
                <w:szCs w:val="32"/>
                <w:highlight w:val="green"/>
                <w:lang w:val="en-GB" w:eastAsia="zh-CN"/>
              </w:rPr>
            </w:pPr>
            <w:r>
              <w:rPr>
                <w:rFonts w:hint="eastAsia" w:ascii="Times" w:hAnsi="Times" w:eastAsia="Malgun Gothic" w:cs="Times New Roman"/>
                <w:b/>
                <w:sz w:val="22"/>
                <w:szCs w:val="32"/>
                <w:highlight w:val="green"/>
                <w:lang w:val="en-GB" w:eastAsia="zh-CN"/>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Malgun Gothic" w:cs="Times New Roman"/>
                <w:sz w:val="22"/>
                <w:szCs w:val="32"/>
                <w:lang w:val="en-GB" w:eastAsia="zh-CN"/>
              </w:rPr>
            </w:pPr>
            <w:r>
              <w:rPr>
                <w:rFonts w:hint="eastAsia" w:ascii="Times" w:hAnsi="Times" w:eastAsia="Malgun Gothic" w:cs="Times New Roman"/>
                <w:sz w:val="22"/>
                <w:szCs w:val="32"/>
                <w:lang w:val="en-GB" w:eastAsia="zh-CN"/>
              </w:rPr>
              <w:t>For frequency domain resource allocation Type 1 for PDSCH</w:t>
            </w:r>
            <w:r>
              <w:rPr>
                <w:rFonts w:hint="eastAsia" w:ascii="Times" w:hAnsi="Times" w:eastAsia="바탕" w:cs="Times"/>
                <w:sz w:val="22"/>
                <w:szCs w:val="32"/>
                <w:lang w:val="en-GB" w:eastAsia="zh-CN"/>
              </w:rPr>
              <w:t xml:space="preserve"> in a single slot </w:t>
            </w:r>
            <w:r>
              <w:rPr>
                <w:rFonts w:hint="eastAsia" w:ascii="Times" w:hAnsi="Times" w:eastAsia="Malgun Gothic" w:cs="Times"/>
                <w:sz w:val="22"/>
                <w:szCs w:val="32"/>
                <w:lang w:val="en-GB" w:eastAsia="zh-CN"/>
              </w:rPr>
              <w:t xml:space="preserve">scheduled at least </w:t>
            </w:r>
            <w:r>
              <w:rPr>
                <w:rFonts w:hint="eastAsia" w:ascii="Times" w:hAnsi="Times" w:eastAsia="바탕" w:cs="Times"/>
                <w:sz w:val="22"/>
                <w:szCs w:val="32"/>
                <w:lang w:val="en-GB" w:eastAsia="zh-CN"/>
              </w:rPr>
              <w:t xml:space="preserve">by DCI </w:t>
            </w:r>
            <w:r>
              <w:rPr>
                <w:rFonts w:hint="eastAsia" w:ascii="Times" w:hAnsi="Times" w:eastAsia="Malgun Gothic" w:cs="Times"/>
                <w:sz w:val="22"/>
                <w:szCs w:val="32"/>
                <w:lang w:val="en-GB" w:eastAsia="zh-CN"/>
              </w:rPr>
              <w:t>format in USS, d</w:t>
            </w:r>
            <w:r>
              <w:rPr>
                <w:rFonts w:hint="eastAsia" w:ascii="Times" w:hAnsi="Times" w:eastAsia="Malgun Gothic" w:cs="Times New Roman"/>
                <w:sz w:val="22"/>
                <w:szCs w:val="32"/>
                <w:lang w:val="en-GB" w:eastAsia="zh-CN"/>
              </w:rPr>
              <w:t>iscuss and decide whether/which of the following options is supported.</w:t>
            </w:r>
          </w:p>
          <w:p>
            <w:pPr>
              <w:keepNext w:val="0"/>
              <w:keepLines w:val="0"/>
              <w:widowControl w:val="0"/>
              <w:numPr>
                <w:ilvl w:val="0"/>
                <w:numId w:val="10"/>
              </w:numPr>
              <w:suppressLineNumbers w:val="0"/>
              <w:tabs>
                <w:tab w:val="left" w:pos="0"/>
              </w:tabs>
              <w:autoSpaceDE/>
              <w:autoSpaceDN/>
              <w:adjustRightInd/>
              <w:snapToGrid/>
              <w:spacing w:before="0" w:beforeAutospacing="0" w:after="0" w:afterAutospacing="0" w:line="240" w:lineRule="auto"/>
              <w:ind w:left="720" w:right="0" w:hanging="360"/>
              <w:jc w:val="both"/>
              <w:rPr>
                <w:rFonts w:hint="eastAsia" w:ascii="Times" w:hAnsi="Times" w:eastAsia="Malgun Gothic" w:cs="Times New Roman"/>
                <w:sz w:val="22"/>
                <w:szCs w:val="32"/>
                <w:lang w:val="en-GB" w:eastAsia="zh-CN"/>
              </w:rPr>
            </w:pPr>
            <w:r>
              <w:rPr>
                <w:rFonts w:hint="eastAsia" w:ascii="Times" w:hAnsi="Times" w:eastAsia="Malgun Gothic" w:cs="Times New Roman"/>
                <w:sz w:val="22"/>
                <w:szCs w:val="32"/>
                <w:lang w:val="en-GB" w:eastAsia="zh-CN"/>
              </w:rPr>
              <w:t xml:space="preserve">Option 1-1: Only the assigned PRBs within DL usable PRBs are </w:t>
            </w:r>
            <w:r>
              <w:rPr>
                <w:rFonts w:hint="eastAsia" w:ascii="Times" w:hAnsi="Times" w:eastAsia="Malgun Gothic" w:cs="Times"/>
                <w:sz w:val="22"/>
                <w:szCs w:val="32"/>
                <w:lang w:val="en-GB" w:eastAsia="zh-CN"/>
              </w:rPr>
              <w:t>considered to be valid for</w:t>
            </w:r>
            <w:r>
              <w:rPr>
                <w:rFonts w:hint="eastAsia" w:ascii="Times" w:hAnsi="Times" w:eastAsia="Malgun Gothic" w:cs="Times New Roman"/>
                <w:sz w:val="22"/>
                <w:szCs w:val="32"/>
                <w:lang w:val="en-GB" w:eastAsia="zh-CN"/>
              </w:rPr>
              <w:t xml:space="preserve"> PDSCH. Assigned PRBs that fall outside DL usable PRBs are </w:t>
            </w:r>
            <w:r>
              <w:rPr>
                <w:rFonts w:hint="eastAsia" w:ascii="Times" w:hAnsi="Times" w:eastAsia="Malgun Gothic" w:cs="Times"/>
                <w:sz w:val="22"/>
                <w:szCs w:val="32"/>
                <w:lang w:val="en-GB" w:eastAsia="zh-CN"/>
              </w:rPr>
              <w:t>considered to be</w:t>
            </w:r>
            <w:r>
              <w:rPr>
                <w:rFonts w:hint="eastAsia" w:ascii="Times" w:hAnsi="Times" w:eastAsia="Malgun Gothic" w:cs="Times New Roman"/>
                <w:sz w:val="22"/>
                <w:szCs w:val="32"/>
                <w:lang w:val="en-GB" w:eastAsia="zh-CN"/>
              </w:rPr>
              <w:t xml:space="preserve"> invalid and should not be used for PDSCH resource mapping.</w:t>
            </w:r>
          </w:p>
          <w:p>
            <w:pPr>
              <w:keepNext w:val="0"/>
              <w:keepLines w:val="0"/>
              <w:widowControl w:val="0"/>
              <w:numPr>
                <w:ilvl w:val="1"/>
                <w:numId w:val="13"/>
              </w:numPr>
              <w:suppressLineNumbers w:val="0"/>
              <w:autoSpaceDE/>
              <w:autoSpaceDN/>
              <w:adjustRightInd/>
              <w:snapToGrid/>
              <w:spacing w:before="0" w:beforeAutospacing="0" w:after="0" w:afterAutospacing="0" w:line="240" w:lineRule="auto"/>
              <w:ind w:left="1440" w:right="0" w:hanging="360"/>
              <w:jc w:val="both"/>
              <w:rPr>
                <w:rFonts w:hint="eastAsia" w:ascii="Times" w:hAnsi="Times" w:eastAsia="Malgun Gothic" w:cs="Times New Roman"/>
                <w:sz w:val="22"/>
                <w:szCs w:val="32"/>
                <w:lang w:val="en-GB" w:eastAsia="zh-CN"/>
              </w:rPr>
            </w:pPr>
            <w:r>
              <w:rPr>
                <w:rFonts w:hint="eastAsia" w:ascii="Times" w:hAnsi="Times" w:eastAsia="Malgun Gothic" w:cs="Times"/>
                <w:sz w:val="22"/>
                <w:szCs w:val="32"/>
                <w:lang w:val="en-GB" w:eastAsia="zh-CN"/>
              </w:rPr>
              <w:t>Existing</w:t>
            </w:r>
            <w:r>
              <w:rPr>
                <w:rFonts w:hint="eastAsia" w:ascii="Times" w:hAnsi="Times" w:eastAsia="Malgun Gothic" w:cs="Times New Roman"/>
                <w:sz w:val="22"/>
                <w:szCs w:val="32"/>
                <w:lang w:val="en-GB" w:eastAsia="zh-CN"/>
              </w:rPr>
              <w:t xml:space="preserve"> RB indexing and VRB-to-PRB mapping are reused</w:t>
            </w:r>
          </w:p>
          <w:p>
            <w:pPr>
              <w:keepNext w:val="0"/>
              <w:keepLines w:val="0"/>
              <w:widowControl w:val="0"/>
              <w:numPr>
                <w:ilvl w:val="1"/>
                <w:numId w:val="13"/>
              </w:numPr>
              <w:suppressLineNumbers w:val="0"/>
              <w:autoSpaceDE/>
              <w:autoSpaceDN/>
              <w:adjustRightInd/>
              <w:snapToGrid/>
              <w:spacing w:before="0" w:beforeAutospacing="0" w:after="0" w:afterAutospacing="0" w:line="240" w:lineRule="auto"/>
              <w:ind w:left="1440" w:right="0" w:hanging="360"/>
              <w:jc w:val="both"/>
              <w:rPr>
                <w:rFonts w:hint="eastAsia" w:ascii="Times" w:hAnsi="Times" w:eastAsia="Malgun Gothic" w:cs="Times New Roman"/>
                <w:sz w:val="22"/>
                <w:szCs w:val="32"/>
                <w:lang w:val="en-GB" w:eastAsia="zh-CN"/>
              </w:rPr>
            </w:pPr>
            <w:r>
              <w:rPr>
                <w:rFonts w:hint="eastAsia" w:ascii="Times" w:hAnsi="Times" w:eastAsia="Malgun Gothic" w:cs="Times New Roman"/>
                <w:sz w:val="22"/>
                <w:szCs w:val="32"/>
                <w:lang w:val="en-GB" w:eastAsia="zh-CN"/>
              </w:rPr>
              <w:t>The number of PRBs for TBS determination is based on the assigned PRBs within DL usable PRBs only</w:t>
            </w:r>
          </w:p>
          <w:p>
            <w:pPr>
              <w:keepNext w:val="0"/>
              <w:keepLines w:val="0"/>
              <w:widowControl w:val="0"/>
              <w:numPr>
                <w:ilvl w:val="1"/>
                <w:numId w:val="13"/>
              </w:numPr>
              <w:suppressLineNumbers w:val="0"/>
              <w:autoSpaceDE/>
              <w:autoSpaceDN/>
              <w:adjustRightInd/>
              <w:snapToGrid/>
              <w:spacing w:before="0" w:beforeAutospacing="0" w:after="0" w:afterAutospacing="0" w:line="240" w:lineRule="auto"/>
              <w:ind w:left="1440" w:right="0" w:hanging="360"/>
              <w:jc w:val="both"/>
              <w:rPr>
                <w:rFonts w:hint="eastAsia" w:ascii="Times" w:hAnsi="Times" w:eastAsia="Malgun Gothic" w:cs="Times New Roman"/>
                <w:sz w:val="22"/>
                <w:szCs w:val="32"/>
                <w:lang w:val="en-GB" w:eastAsia="zh-CN"/>
              </w:rPr>
            </w:pPr>
            <w:r>
              <w:rPr>
                <w:rFonts w:hint="eastAsia" w:ascii="Times" w:hAnsi="Times" w:eastAsia="Malgun Gothic" w:cs="Times New Roman"/>
                <w:sz w:val="22"/>
                <w:szCs w:val="32"/>
                <w:lang w:val="en-GB" w:eastAsia="zh-CN"/>
              </w:rPr>
              <w:t xml:space="preserve">FFS: DMRS sequence mapping </w:t>
            </w:r>
          </w:p>
          <w:p>
            <w:pPr>
              <w:keepNext w:val="0"/>
              <w:keepLines w:val="0"/>
              <w:widowControl w:val="0"/>
              <w:numPr>
                <w:ilvl w:val="0"/>
                <w:numId w:val="10"/>
              </w:numPr>
              <w:suppressLineNumbers w:val="0"/>
              <w:tabs>
                <w:tab w:val="left" w:pos="0"/>
              </w:tabs>
              <w:autoSpaceDE/>
              <w:autoSpaceDN/>
              <w:adjustRightInd/>
              <w:snapToGrid/>
              <w:spacing w:before="0" w:beforeAutospacing="0" w:after="0" w:afterAutospacing="0" w:line="240" w:lineRule="auto"/>
              <w:ind w:left="720" w:right="0" w:hanging="360"/>
              <w:jc w:val="both"/>
              <w:rPr>
                <w:rFonts w:hint="eastAsia" w:ascii="Times" w:hAnsi="Times" w:eastAsia="Malgun Gothic" w:cs="Times New Roman"/>
                <w:sz w:val="22"/>
                <w:szCs w:val="32"/>
                <w:lang w:val="en-GB" w:eastAsia="zh-CN"/>
              </w:rPr>
            </w:pPr>
            <w:r>
              <w:rPr>
                <w:rFonts w:hint="eastAsia" w:ascii="Times" w:hAnsi="Times" w:eastAsia="Malgun Gothic" w:cs="Times New Roman"/>
                <w:sz w:val="22"/>
                <w:szCs w:val="32"/>
                <w:lang w:val="en-GB" w:eastAsia="zh-CN"/>
              </w:rPr>
              <w:t xml:space="preserve">Option 1-2: Only the assigned PRBs within DL usable PRBs are </w:t>
            </w:r>
            <w:r>
              <w:rPr>
                <w:rFonts w:hint="eastAsia" w:ascii="Times" w:hAnsi="Times" w:eastAsia="Malgun Gothic" w:cs="Times"/>
                <w:sz w:val="22"/>
                <w:szCs w:val="32"/>
                <w:lang w:val="en-GB" w:eastAsia="zh-CN"/>
              </w:rPr>
              <w:t>considered to be valid for</w:t>
            </w:r>
            <w:r>
              <w:rPr>
                <w:rFonts w:hint="eastAsia" w:ascii="Times" w:hAnsi="Times" w:eastAsia="Malgun Gothic" w:cs="Times New Roman"/>
                <w:sz w:val="22"/>
                <w:szCs w:val="32"/>
                <w:lang w:val="en-GB" w:eastAsia="zh-CN"/>
              </w:rPr>
              <w:t xml:space="preserve"> PDSCH. Assigned PRBs that fall outside DL usable PRBs are </w:t>
            </w:r>
            <w:r>
              <w:rPr>
                <w:rFonts w:hint="eastAsia" w:ascii="Times" w:hAnsi="Times" w:eastAsia="Malgun Gothic" w:cs="Times"/>
                <w:sz w:val="22"/>
                <w:szCs w:val="32"/>
                <w:lang w:val="en-GB" w:eastAsia="zh-CN"/>
              </w:rPr>
              <w:t>considered to be</w:t>
            </w:r>
            <w:r>
              <w:rPr>
                <w:rFonts w:hint="eastAsia" w:ascii="Times" w:hAnsi="Times" w:eastAsia="Malgun Gothic" w:cs="Times New Roman"/>
                <w:sz w:val="22"/>
                <w:szCs w:val="32"/>
                <w:lang w:val="en-GB" w:eastAsia="zh-CN"/>
              </w:rPr>
              <w:t xml:space="preserve"> invalid and should not be used for PDSCH resource mapping.</w:t>
            </w:r>
          </w:p>
          <w:p>
            <w:pPr>
              <w:keepNext w:val="0"/>
              <w:keepLines w:val="0"/>
              <w:widowControl w:val="0"/>
              <w:numPr>
                <w:ilvl w:val="1"/>
                <w:numId w:val="13"/>
              </w:numPr>
              <w:suppressLineNumbers w:val="0"/>
              <w:autoSpaceDE/>
              <w:autoSpaceDN/>
              <w:adjustRightInd/>
              <w:snapToGrid/>
              <w:spacing w:before="0" w:beforeAutospacing="0" w:after="0" w:afterAutospacing="0" w:line="240" w:lineRule="auto"/>
              <w:ind w:left="1440" w:right="0" w:hanging="360"/>
              <w:jc w:val="both"/>
              <w:rPr>
                <w:rFonts w:hint="eastAsia" w:ascii="Times" w:hAnsi="Times" w:eastAsia="Malgun Gothic" w:cs="Times New Roman"/>
                <w:sz w:val="22"/>
                <w:szCs w:val="32"/>
                <w:lang w:val="en-GB" w:eastAsia="zh-CN"/>
              </w:rPr>
            </w:pPr>
            <w:r>
              <w:rPr>
                <w:rFonts w:hint="eastAsia" w:ascii="Times" w:hAnsi="Times" w:eastAsia="Malgun Gothic" w:cs="Times"/>
                <w:sz w:val="22"/>
                <w:szCs w:val="32"/>
                <w:lang w:val="en-GB" w:eastAsia="zh-CN"/>
              </w:rPr>
              <w:t>Existing</w:t>
            </w:r>
            <w:r>
              <w:rPr>
                <w:rFonts w:hint="eastAsia" w:ascii="Times" w:hAnsi="Times" w:eastAsia="Malgun Gothic" w:cs="Times New Roman"/>
                <w:sz w:val="22"/>
                <w:szCs w:val="32"/>
                <w:lang w:val="en-GB" w:eastAsia="zh-CN"/>
              </w:rPr>
              <w:t xml:space="preserve"> RB indexing and VRB-to-PRB mapping are reused</w:t>
            </w:r>
          </w:p>
          <w:p>
            <w:pPr>
              <w:keepNext w:val="0"/>
              <w:keepLines w:val="0"/>
              <w:widowControl w:val="0"/>
              <w:numPr>
                <w:ilvl w:val="1"/>
                <w:numId w:val="13"/>
              </w:numPr>
              <w:suppressLineNumbers w:val="0"/>
              <w:autoSpaceDE/>
              <w:autoSpaceDN/>
              <w:adjustRightInd/>
              <w:snapToGrid/>
              <w:spacing w:before="0" w:beforeAutospacing="0" w:after="0" w:afterAutospacing="0" w:line="240" w:lineRule="auto"/>
              <w:ind w:left="1440" w:right="0" w:hanging="360"/>
              <w:jc w:val="both"/>
              <w:rPr>
                <w:rFonts w:hint="eastAsia" w:ascii="Times" w:hAnsi="Times" w:eastAsia="Malgun Gothic" w:cs="Times New Roman"/>
                <w:sz w:val="22"/>
                <w:szCs w:val="32"/>
                <w:lang w:val="en-GB" w:eastAsia="zh-CN"/>
              </w:rPr>
            </w:pPr>
            <w:r>
              <w:rPr>
                <w:rFonts w:hint="eastAsia" w:ascii="Times" w:hAnsi="Times" w:eastAsia="Malgun Gothic" w:cs="Times New Roman"/>
                <w:sz w:val="22"/>
                <w:szCs w:val="32"/>
                <w:lang w:val="en-GB" w:eastAsia="zh-CN"/>
              </w:rPr>
              <w:t>The number of PRBs for TBS determination is based on the assigned PRBs as legacy</w:t>
            </w:r>
          </w:p>
          <w:p>
            <w:pPr>
              <w:keepNext w:val="0"/>
              <w:keepLines w:val="0"/>
              <w:widowControl w:val="0"/>
              <w:numPr>
                <w:ilvl w:val="1"/>
                <w:numId w:val="13"/>
              </w:numPr>
              <w:suppressLineNumbers w:val="0"/>
              <w:autoSpaceDE/>
              <w:autoSpaceDN/>
              <w:adjustRightInd/>
              <w:snapToGrid/>
              <w:spacing w:before="0" w:beforeAutospacing="0" w:after="0" w:afterAutospacing="0" w:line="240" w:lineRule="auto"/>
              <w:ind w:left="1440" w:right="0" w:hanging="360"/>
              <w:jc w:val="both"/>
              <w:rPr>
                <w:rFonts w:hint="eastAsia" w:ascii="Times" w:hAnsi="Times" w:eastAsia="Malgun Gothic" w:cs="Times New Roman"/>
                <w:sz w:val="22"/>
                <w:szCs w:val="32"/>
                <w:lang w:val="en-GB" w:eastAsia="zh-CN"/>
              </w:rPr>
            </w:pPr>
            <w:r>
              <w:rPr>
                <w:rFonts w:hint="eastAsia" w:ascii="Times" w:hAnsi="Times" w:eastAsia="Malgun Gothic" w:cs="Times New Roman"/>
                <w:sz w:val="22"/>
                <w:szCs w:val="32"/>
                <w:lang w:val="en-GB" w:eastAsia="zh-CN"/>
              </w:rPr>
              <w:t xml:space="preserve">FFS: DMRS sequence mapping </w:t>
            </w:r>
          </w:p>
          <w:p>
            <w:pPr>
              <w:keepNext w:val="0"/>
              <w:keepLines w:val="0"/>
              <w:widowControl w:val="0"/>
              <w:numPr>
                <w:ilvl w:val="0"/>
                <w:numId w:val="10"/>
              </w:numPr>
              <w:suppressLineNumbers w:val="0"/>
              <w:tabs>
                <w:tab w:val="left" w:pos="0"/>
              </w:tabs>
              <w:autoSpaceDE/>
              <w:autoSpaceDN/>
              <w:adjustRightInd/>
              <w:snapToGrid/>
              <w:spacing w:before="0" w:beforeAutospacing="0" w:after="0" w:afterAutospacing="0" w:line="240" w:lineRule="auto"/>
              <w:ind w:left="720" w:right="0" w:hanging="360"/>
              <w:jc w:val="both"/>
              <w:rPr>
                <w:rFonts w:hint="eastAsia" w:ascii="Times" w:hAnsi="Times" w:eastAsia="Malgun Gothic" w:cs="Times New Roman"/>
                <w:sz w:val="22"/>
                <w:szCs w:val="32"/>
                <w:lang w:val="en-GB" w:eastAsia="zh-CN"/>
              </w:rPr>
            </w:pPr>
            <w:r>
              <w:rPr>
                <w:rFonts w:hint="eastAsia" w:ascii="Times" w:hAnsi="Times" w:eastAsia="Malgun Gothic" w:cs="Times New Roman"/>
                <w:sz w:val="22"/>
                <w:szCs w:val="32"/>
                <w:lang w:val="en-GB" w:eastAsia="zh-CN"/>
              </w:rPr>
              <w:t>Option 2: Introduce new RB indexing/PRB bundle indexing to ensure VRBs are mapped to DL usable PRBs only.</w:t>
            </w:r>
          </w:p>
          <w:p>
            <w:pPr>
              <w:keepNext w:val="0"/>
              <w:keepLines w:val="0"/>
              <w:widowControl w:val="0"/>
              <w:numPr>
                <w:ilvl w:val="1"/>
                <w:numId w:val="13"/>
              </w:numPr>
              <w:suppressLineNumbers w:val="0"/>
              <w:autoSpaceDE/>
              <w:autoSpaceDN/>
              <w:adjustRightInd/>
              <w:snapToGrid/>
              <w:spacing w:before="0" w:beforeAutospacing="0" w:after="0" w:afterAutospacing="0" w:line="240" w:lineRule="auto"/>
              <w:ind w:left="1440" w:right="0" w:hanging="360"/>
              <w:jc w:val="both"/>
              <w:rPr>
                <w:rFonts w:hint="eastAsia" w:ascii="Times" w:hAnsi="Times" w:eastAsia="Malgun Gothic" w:cs="Times"/>
                <w:sz w:val="22"/>
                <w:szCs w:val="32"/>
                <w:lang w:val="en-GB" w:eastAsia="zh-CN"/>
              </w:rPr>
            </w:pPr>
            <w:r>
              <w:rPr>
                <w:rFonts w:hint="eastAsia" w:ascii="Times" w:hAnsi="Times" w:eastAsia="Malgun Gothic" w:cs="Times"/>
                <w:sz w:val="22"/>
                <w:szCs w:val="32"/>
                <w:lang w:val="en-GB" w:eastAsia="zh-CN"/>
              </w:rPr>
              <w:t>Existing VRB-to-PRB mapping is reused</w:t>
            </w:r>
          </w:p>
          <w:p>
            <w:pPr>
              <w:keepNext w:val="0"/>
              <w:keepLines w:val="0"/>
              <w:widowControl w:val="0"/>
              <w:numPr>
                <w:ilvl w:val="1"/>
                <w:numId w:val="13"/>
              </w:numPr>
              <w:suppressLineNumbers w:val="0"/>
              <w:autoSpaceDE/>
              <w:autoSpaceDN/>
              <w:adjustRightInd/>
              <w:snapToGrid/>
              <w:spacing w:before="0" w:beforeAutospacing="0" w:after="0" w:afterAutospacing="0" w:line="240" w:lineRule="auto"/>
              <w:ind w:left="1440" w:right="0" w:hanging="360"/>
              <w:jc w:val="both"/>
              <w:rPr>
                <w:rFonts w:hint="eastAsia" w:ascii="Times" w:hAnsi="Times" w:eastAsia="Malgun Gothic" w:cs="Times"/>
                <w:sz w:val="22"/>
                <w:szCs w:val="32"/>
                <w:lang w:val="en-GB" w:eastAsia="zh-CN"/>
              </w:rPr>
            </w:pPr>
            <w:r>
              <w:rPr>
                <w:rFonts w:hint="eastAsia" w:ascii="Times" w:hAnsi="Times" w:eastAsia="Malgun Gothic" w:cs="Times"/>
                <w:sz w:val="22"/>
                <w:szCs w:val="32"/>
                <w:lang w:val="en-GB" w:eastAsia="zh-CN"/>
              </w:rPr>
              <w:t>Legacy TBS determination method is used</w:t>
            </w:r>
          </w:p>
          <w:p>
            <w:pPr>
              <w:keepNext w:val="0"/>
              <w:keepLines w:val="0"/>
              <w:widowControl w:val="0"/>
              <w:numPr>
                <w:ilvl w:val="1"/>
                <w:numId w:val="13"/>
              </w:numPr>
              <w:suppressLineNumbers w:val="0"/>
              <w:autoSpaceDE/>
              <w:autoSpaceDN/>
              <w:adjustRightInd/>
              <w:snapToGrid/>
              <w:spacing w:before="0" w:beforeAutospacing="0" w:after="0" w:afterAutospacing="0" w:line="240" w:lineRule="auto"/>
              <w:ind w:left="1440" w:right="0" w:hanging="360"/>
              <w:jc w:val="both"/>
              <w:rPr>
                <w:rFonts w:hint="eastAsia" w:ascii="Times" w:hAnsi="Times" w:eastAsia="Malgun Gothic" w:cs="Times New Roman"/>
                <w:sz w:val="22"/>
                <w:szCs w:val="32"/>
                <w:lang w:val="en-GB" w:eastAsia="zh-CN"/>
              </w:rPr>
            </w:pPr>
            <w:r>
              <w:rPr>
                <w:rFonts w:hint="eastAsia" w:ascii="Times" w:hAnsi="Times" w:eastAsia="Malgun Gothic" w:cs="Times New Roman"/>
                <w:sz w:val="22"/>
                <w:szCs w:val="32"/>
                <w:lang w:val="en-GB" w:eastAsia="zh-CN"/>
              </w:rPr>
              <w:t xml:space="preserve">FFS: DMRS sequence mapping </w:t>
            </w:r>
          </w:p>
          <w:p>
            <w:pPr>
              <w:keepNext w:val="0"/>
              <w:keepLines w:val="0"/>
              <w:widowControl w:val="0"/>
              <w:numPr>
                <w:ilvl w:val="0"/>
                <w:numId w:val="13"/>
              </w:numPr>
              <w:suppressLineNumbers w:val="0"/>
              <w:autoSpaceDE/>
              <w:autoSpaceDN/>
              <w:adjustRightInd/>
              <w:snapToGrid/>
              <w:spacing w:before="0" w:beforeAutospacing="0" w:after="0" w:afterAutospacing="0" w:line="240" w:lineRule="auto"/>
              <w:ind w:left="720" w:right="0" w:hanging="360"/>
              <w:jc w:val="both"/>
              <w:rPr>
                <w:rFonts w:hint="eastAsia" w:ascii="Times" w:hAnsi="Times" w:eastAsia="Malgun Gothic" w:cs="Times New Roman"/>
                <w:sz w:val="22"/>
                <w:szCs w:val="32"/>
                <w:lang w:val="en-GB" w:eastAsia="zh-CN"/>
              </w:rPr>
            </w:pPr>
            <w:r>
              <w:rPr>
                <w:rFonts w:hint="eastAsia" w:ascii="Times" w:hAnsi="Times" w:eastAsia="Malgun Gothic" w:cs="Times New Roman"/>
                <w:sz w:val="22"/>
                <w:szCs w:val="32"/>
                <w:lang w:val="en-GB" w:eastAsia="zh-CN"/>
              </w:rPr>
              <w:t>Option 3: Modify VRB-to-PRB mapping interleaver to ensure VRBs are mapped to DL usable PRBs only.</w:t>
            </w:r>
          </w:p>
          <w:p>
            <w:pPr>
              <w:keepNext w:val="0"/>
              <w:keepLines w:val="0"/>
              <w:widowControl w:val="0"/>
              <w:numPr>
                <w:ilvl w:val="1"/>
                <w:numId w:val="13"/>
              </w:numPr>
              <w:suppressLineNumbers w:val="0"/>
              <w:autoSpaceDE/>
              <w:autoSpaceDN/>
              <w:adjustRightInd/>
              <w:snapToGrid/>
              <w:spacing w:before="0" w:beforeAutospacing="0" w:after="0" w:afterAutospacing="0" w:line="240" w:lineRule="auto"/>
              <w:ind w:left="1440" w:right="0" w:hanging="360"/>
              <w:jc w:val="both"/>
              <w:rPr>
                <w:rFonts w:hint="eastAsia" w:ascii="Times" w:hAnsi="Times" w:eastAsia="Malgun Gothic" w:cs="Times New Roman"/>
                <w:sz w:val="22"/>
                <w:szCs w:val="32"/>
                <w:lang w:val="en-GB" w:eastAsia="zh-CN"/>
              </w:rPr>
            </w:pPr>
            <w:r>
              <w:rPr>
                <w:rFonts w:hint="eastAsia" w:ascii="Times" w:hAnsi="Times" w:eastAsia="Malgun Gothic" w:cs="Times"/>
                <w:sz w:val="22"/>
                <w:szCs w:val="32"/>
                <w:lang w:val="en-GB" w:eastAsia="zh-CN"/>
              </w:rPr>
              <w:t>Existing</w:t>
            </w:r>
            <w:r>
              <w:rPr>
                <w:rFonts w:hint="eastAsia" w:ascii="Times" w:hAnsi="Times" w:eastAsia="Malgun Gothic" w:cs="Times New Roman"/>
                <w:sz w:val="22"/>
                <w:szCs w:val="32"/>
                <w:lang w:val="en-GB" w:eastAsia="zh-CN"/>
              </w:rPr>
              <w:t xml:space="preserve"> RB indexing/PRB bundle indexing</w:t>
            </w:r>
            <w:r>
              <w:rPr>
                <w:rFonts w:hint="eastAsia" w:ascii="Times" w:hAnsi="Times" w:eastAsia="Malgun Gothic" w:cs="Times"/>
                <w:sz w:val="22"/>
                <w:szCs w:val="32"/>
                <w:lang w:val="en-GB" w:eastAsia="zh-CN"/>
              </w:rPr>
              <w:t xml:space="preserve"> is reused</w:t>
            </w:r>
          </w:p>
          <w:p>
            <w:pPr>
              <w:keepNext w:val="0"/>
              <w:keepLines w:val="0"/>
              <w:widowControl w:val="0"/>
              <w:numPr>
                <w:ilvl w:val="1"/>
                <w:numId w:val="13"/>
              </w:numPr>
              <w:suppressLineNumbers w:val="0"/>
              <w:autoSpaceDE/>
              <w:autoSpaceDN/>
              <w:adjustRightInd/>
              <w:snapToGrid/>
              <w:spacing w:before="0" w:beforeAutospacing="0" w:after="0" w:afterAutospacing="0" w:line="240" w:lineRule="auto"/>
              <w:ind w:left="1440" w:right="0" w:hanging="360"/>
              <w:jc w:val="both"/>
              <w:rPr>
                <w:rFonts w:hint="eastAsia" w:ascii="Times" w:hAnsi="Times" w:eastAsia="Malgun Gothic" w:cs="Times New Roman"/>
                <w:sz w:val="22"/>
                <w:szCs w:val="32"/>
                <w:lang w:val="en-GB" w:eastAsia="zh-CN"/>
              </w:rPr>
            </w:pPr>
            <w:r>
              <w:rPr>
                <w:rFonts w:hint="eastAsia" w:ascii="Times" w:hAnsi="Times" w:eastAsia="Malgun Gothic" w:cs="Times"/>
                <w:sz w:val="22"/>
                <w:szCs w:val="32"/>
                <w:lang w:val="en-GB" w:eastAsia="zh-CN"/>
              </w:rPr>
              <w:t>If the interleaver is not enabled, Option 1-1 or Option 1-2 is used</w:t>
            </w:r>
          </w:p>
          <w:p>
            <w:pPr>
              <w:keepNext w:val="0"/>
              <w:keepLines w:val="0"/>
              <w:widowControl w:val="0"/>
              <w:numPr>
                <w:ilvl w:val="1"/>
                <w:numId w:val="13"/>
              </w:numPr>
              <w:suppressLineNumbers w:val="0"/>
              <w:autoSpaceDE/>
              <w:autoSpaceDN/>
              <w:adjustRightInd/>
              <w:snapToGrid/>
              <w:spacing w:before="0" w:beforeAutospacing="0" w:after="0" w:afterAutospacing="0" w:line="240" w:lineRule="auto"/>
              <w:ind w:left="1440" w:right="0" w:hanging="360"/>
              <w:jc w:val="both"/>
              <w:rPr>
                <w:rFonts w:hint="eastAsia" w:ascii="Times" w:hAnsi="Times" w:eastAsia="Malgun Gothic" w:cs="Times"/>
                <w:sz w:val="22"/>
                <w:szCs w:val="32"/>
                <w:lang w:val="en-GB" w:eastAsia="zh-CN"/>
              </w:rPr>
            </w:pPr>
            <w:r>
              <w:rPr>
                <w:rFonts w:hint="eastAsia" w:ascii="Times" w:hAnsi="Times" w:eastAsia="Malgun Gothic" w:cs="Times"/>
                <w:sz w:val="22"/>
                <w:szCs w:val="32"/>
                <w:lang w:val="en-GB" w:eastAsia="zh-CN"/>
              </w:rPr>
              <w:t>Legacy TBS determination method is used</w:t>
            </w:r>
          </w:p>
          <w:p>
            <w:pPr>
              <w:keepNext w:val="0"/>
              <w:keepLines w:val="0"/>
              <w:widowControl w:val="0"/>
              <w:numPr>
                <w:ilvl w:val="1"/>
                <w:numId w:val="13"/>
              </w:numPr>
              <w:suppressLineNumbers w:val="0"/>
              <w:autoSpaceDE/>
              <w:autoSpaceDN/>
              <w:adjustRightInd/>
              <w:snapToGrid/>
              <w:spacing w:before="0" w:beforeAutospacing="0" w:after="0" w:afterAutospacing="0" w:line="240" w:lineRule="auto"/>
              <w:ind w:left="1440" w:right="0" w:hanging="360"/>
              <w:jc w:val="both"/>
              <w:rPr>
                <w:rFonts w:hint="default" w:ascii="Times" w:hAnsi="Times" w:eastAsia="Malgun Gothic"/>
                <w:vertAlign w:val="baseline"/>
                <w:lang w:val="en-US" w:eastAsia="zh-CN"/>
              </w:rPr>
            </w:pPr>
            <w:r>
              <w:rPr>
                <w:rFonts w:hint="eastAsia" w:ascii="Times" w:hAnsi="Times" w:eastAsia="Malgun Gothic" w:cs="Times New Roman"/>
                <w:sz w:val="22"/>
                <w:szCs w:val="32"/>
                <w:lang w:val="en-GB" w:eastAsia="zh-CN"/>
              </w:rPr>
              <w:t xml:space="preserve">FFS: DMRS sequence mapping </w:t>
            </w:r>
          </w:p>
        </w:tc>
      </w:tr>
    </w:tbl>
    <w:p>
      <w:pPr>
        <w:spacing w:before="120" w:beforeLines="50"/>
        <w:rPr>
          <w:rFonts w:hint="default" w:ascii="Times" w:hAnsi="Times" w:eastAsia="Malgun Gothic"/>
          <w:lang w:val="en-US" w:eastAsia="zh-CN"/>
        </w:rPr>
      </w:pPr>
    </w:p>
    <w:p>
      <w:pPr>
        <w:spacing w:before="120" w:beforeLines="50"/>
        <w:rPr>
          <w:rFonts w:hint="default" w:eastAsiaTheme="minorEastAsia"/>
          <w:lang w:val="en-US" w:eastAsia="zh-CN"/>
        </w:rPr>
      </w:pPr>
      <w:r>
        <w:rPr>
          <w:rFonts w:hint="eastAsia" w:eastAsiaTheme="minorEastAsia"/>
          <w:lang w:val="en-US" w:eastAsia="zh-CN"/>
        </w:rPr>
        <w:t>For PDSCH frequency resource allocation Type 1, interleaved VRB-to-PRB mapping can be enabled. On SBFD slot/symbols, enforcement of existing VRB-to-PRB mapping rules may result in DL VRB being mapped to UL subbands or guardband. To support Frequency Resource Allocation Type 1 on SBFD slots/symbols with interleaved VRB-to-PRB mapping enabled, four options were agreed for further study at the last meeting. Of all four options, option 1-2 is clear and has less impact on the specification. Therefore, option 1-2 should be supported for PDSCH Resource Allocation</w:t>
      </w:r>
      <w:r>
        <w:rPr>
          <w:rFonts w:eastAsiaTheme="minorEastAsia"/>
          <w:lang w:eastAsia="zh-CN"/>
        </w:rPr>
        <w:t xml:space="preserve"> </w:t>
      </w:r>
      <w:r>
        <w:rPr>
          <w:rFonts w:hint="eastAsia" w:eastAsiaTheme="minorEastAsia"/>
          <w:lang w:val="en-US" w:eastAsia="zh-CN"/>
        </w:rPr>
        <w:t>T</w:t>
      </w:r>
      <w:r>
        <w:rPr>
          <w:rFonts w:eastAsiaTheme="minorEastAsia"/>
          <w:lang w:eastAsia="zh-CN"/>
        </w:rPr>
        <w:t>ype 1 for non-contiguous FDRA</w:t>
      </w:r>
      <w:r>
        <w:rPr>
          <w:rFonts w:hint="eastAsia" w:eastAsiaTheme="minorEastAsia"/>
          <w:lang w:val="en-US" w:eastAsia="zh-CN"/>
        </w:rPr>
        <w:t>.</w:t>
      </w:r>
    </w:p>
    <w:p>
      <w:pPr>
        <w:spacing w:before="120" w:beforeLines="50"/>
        <w:rPr>
          <w:rFonts w:hint="default" w:eastAsiaTheme="minorEastAsia"/>
          <w:b/>
          <w:bCs/>
          <w:i/>
          <w:iCs/>
          <w:lang w:val="en-US" w:eastAsia="zh-CN"/>
        </w:rPr>
      </w:pPr>
      <w:r>
        <w:rPr>
          <w:rFonts w:hint="eastAsia" w:eastAsiaTheme="minorEastAsia"/>
          <w:b/>
          <w:bCs/>
          <w:i/>
          <w:iCs/>
          <w:lang w:val="en-US" w:eastAsia="zh-CN"/>
        </w:rPr>
        <w:t>Proposal 7: Option 1-2 should be supported for PDSCH resource allocation</w:t>
      </w:r>
      <w:r>
        <w:rPr>
          <w:rFonts w:eastAsiaTheme="minorEastAsia"/>
          <w:b/>
          <w:bCs/>
          <w:i/>
          <w:iCs/>
          <w:lang w:eastAsia="zh-CN"/>
        </w:rPr>
        <w:t xml:space="preserve"> type 1 for non-contiguous FDRA</w:t>
      </w:r>
      <w:r>
        <w:rPr>
          <w:rFonts w:hint="eastAsia" w:eastAsiaTheme="minorEastAsia"/>
          <w:b/>
          <w:bCs/>
          <w:i/>
          <w:iCs/>
          <w:lang w:val="en-US" w:eastAsia="zh-CN"/>
        </w:rPr>
        <w:t>.</w:t>
      </w:r>
    </w:p>
    <w:p>
      <w:pPr>
        <w:spacing w:before="120" w:beforeLines="50"/>
        <w:rPr>
          <w:rFonts w:hint="default" w:ascii="Times" w:hAnsi="Times" w:eastAsia="Malgun Gothic"/>
          <w:lang w:val="en-US" w:eastAsia="zh-CN"/>
        </w:rPr>
      </w:pP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default"/>
          <w:lang w:val="en-US" w:eastAsia="zh-CN"/>
        </w:rPr>
      </w:pPr>
      <w:r>
        <w:rPr>
          <w:rFonts w:hint="eastAsia"/>
          <w:lang w:val="en-US" w:eastAsia="zh-CN"/>
        </w:rPr>
        <w:t>Configurations for SRS, PUCCH and PUSCH on SBFD symbols and non-SBFD symbols</w:t>
      </w:r>
    </w:p>
    <w:p>
      <w:pPr>
        <w:pStyle w:val="55"/>
        <w:numPr>
          <w:ilvl w:val="0"/>
          <w:numId w:val="11"/>
        </w:numPr>
        <w:spacing w:before="120" w:beforeLines="0" w:after="120" w:line="240" w:lineRule="auto"/>
        <w:ind w:firstLineChars="0"/>
      </w:pPr>
      <w:r>
        <w:rPr>
          <w:b/>
        </w:rPr>
        <w:t>Configurations for SRS</w:t>
      </w:r>
    </w:p>
    <w:p>
      <w:pPr>
        <w:widowControl/>
        <w:autoSpaceDE w:val="0"/>
        <w:autoSpaceDN w:val="0"/>
        <w:spacing w:before="0" w:beforeLines="0" w:after="120" w:line="240" w:lineRule="auto"/>
        <w:rPr>
          <w:rFonts w:hint="eastAsia"/>
          <w:lang w:val="en-US" w:eastAsia="zh-CN"/>
        </w:rPr>
      </w:pPr>
      <w:r>
        <w:rPr>
          <w:rFonts w:hint="eastAsia"/>
        </w:rPr>
        <w:t>In the current specification, the UE can be configured with multiple SRS resource sets. Wherein, each SRS resource set may be configured with different uplink power control parameters, spatial domain parameters and frequency hopping parameters, respectively. Considering that the gNB Rx antenna configurations in the SBFD and non-SBFD slots may be different, and the interference suffered by the gNB side is different, different UL power control parameters, spatial domain parameters, and frequency hopping parameters can be provided for SRS transmissions on the SBFD and non-SBFD slots, respectively. In addition, the UL usable PRBs in the SBFD and non-SBFD slots may be different</w:t>
      </w:r>
      <w:r>
        <w:rPr>
          <w:rFonts w:hint="eastAsia"/>
          <w:lang w:val="en-US" w:eastAsia="zh-CN"/>
        </w:rPr>
        <w:t>.</w:t>
      </w:r>
      <w:r>
        <w:rPr>
          <w:rFonts w:hint="eastAsia"/>
        </w:rPr>
        <w:t xml:space="preserve"> </w:t>
      </w:r>
      <w:r>
        <w:rPr>
          <w:rFonts w:hint="eastAsia"/>
          <w:lang w:val="en-US" w:eastAsia="zh-CN"/>
        </w:rPr>
        <w:t>T</w:t>
      </w:r>
      <w:r>
        <w:rPr>
          <w:rFonts w:hint="eastAsia"/>
        </w:rPr>
        <w:t>o ensure that the SRS transmission are within the UL usable PRBs, different frequency hopping parameters should be provided for SRS transmissions in the SBFD and non-SBFD slots, respectively. Therefore, separate sets of SRS resources associated with SBFD slots and non-SBFD slots can be configured to enable two SRS transmissions on SBFD slots only and non-SBFD slots only.</w:t>
      </w:r>
    </w:p>
    <w:p>
      <w:pPr>
        <w:spacing w:before="0" w:beforeLines="0" w:after="120" w:line="240" w:lineRule="auto"/>
        <w:rPr>
          <w:i/>
        </w:rPr>
      </w:pPr>
      <w:r>
        <w:rPr>
          <w:rFonts w:hint="eastAsia"/>
          <w:b/>
          <w:i/>
          <w:lang w:val="en-US" w:eastAsia="zh-CN"/>
        </w:rPr>
        <w:t>Proposal</w:t>
      </w:r>
      <w:r>
        <w:rPr>
          <w:b/>
          <w:i/>
        </w:rPr>
        <w:t xml:space="preserve"> </w:t>
      </w:r>
      <w:r>
        <w:rPr>
          <w:rFonts w:hint="eastAsia"/>
          <w:b/>
          <w:i/>
          <w:lang w:val="en-US" w:eastAsia="zh-CN"/>
        </w:rPr>
        <w:t>8</w:t>
      </w:r>
      <w:r>
        <w:rPr>
          <w:i/>
        </w:rPr>
        <w:t xml:space="preserve">: </w:t>
      </w:r>
      <w:r>
        <w:rPr>
          <w:rFonts w:hint="eastAsia"/>
          <w:b/>
          <w:bCs/>
          <w:i/>
          <w:lang w:val="en-US" w:eastAsia="zh-CN"/>
        </w:rPr>
        <w:t>S</w:t>
      </w:r>
      <w:r>
        <w:rPr>
          <w:rFonts w:hint="eastAsia"/>
          <w:b/>
          <w:bCs/>
          <w:i/>
        </w:rPr>
        <w:t>eparate sets of SRS resources associated with SBFD slots and non-SBFD slots can be configured to enable two SRS transmissions on SBFD slots only and non-SBFD slots only</w:t>
      </w:r>
      <w:r>
        <w:rPr>
          <w:b/>
          <w:bCs/>
          <w:i/>
        </w:rPr>
        <w:t>.</w:t>
      </w:r>
    </w:p>
    <w:p>
      <w:pPr>
        <w:spacing w:before="0" w:beforeLines="0" w:after="120" w:line="240" w:lineRule="auto"/>
      </w:pPr>
    </w:p>
    <w:p>
      <w:pPr>
        <w:pStyle w:val="55"/>
        <w:numPr>
          <w:ilvl w:val="0"/>
          <w:numId w:val="11"/>
        </w:numPr>
        <w:spacing w:before="0" w:beforeLines="0" w:after="120" w:line="240" w:lineRule="auto"/>
        <w:ind w:firstLineChars="0"/>
      </w:pPr>
      <w:r>
        <w:rPr>
          <w:b/>
        </w:rPr>
        <w:t>Configurations for PUCCH</w:t>
      </w:r>
    </w:p>
    <w:p>
      <w:pPr>
        <w:widowControl/>
        <w:autoSpaceDE w:val="0"/>
        <w:autoSpaceDN w:val="0"/>
        <w:spacing w:before="0" w:beforeLines="0" w:after="120" w:line="240" w:lineRule="auto"/>
      </w:pPr>
      <w:r>
        <w:rPr>
          <w:rFonts w:hint="eastAsia"/>
        </w:rPr>
        <w:t xml:space="preserve">In the current specification, </w:t>
      </w:r>
      <w:r>
        <w:rPr>
          <w:rFonts w:hint="eastAsia"/>
          <w:lang w:val="en-US" w:eastAsia="zh-CN"/>
        </w:rPr>
        <w:t xml:space="preserve">similar to SRS resource set configuration, </w:t>
      </w:r>
      <w:r>
        <w:rPr>
          <w:rFonts w:hint="eastAsia"/>
        </w:rPr>
        <w:t xml:space="preserve">the UE can be configured with multiple </w:t>
      </w:r>
      <w:r>
        <w:rPr>
          <w:rFonts w:hint="eastAsia"/>
          <w:lang w:val="en-US" w:eastAsia="zh-CN"/>
        </w:rPr>
        <w:t>PUCCH</w:t>
      </w:r>
      <w:r>
        <w:rPr>
          <w:rFonts w:hint="eastAsia"/>
        </w:rPr>
        <w:t xml:space="preserve"> resource sets. Wherein, each </w:t>
      </w:r>
      <w:r>
        <w:rPr>
          <w:rFonts w:hint="eastAsia"/>
          <w:lang w:val="en-US" w:eastAsia="zh-CN"/>
        </w:rPr>
        <w:t>PUCCH</w:t>
      </w:r>
      <w:r>
        <w:rPr>
          <w:rFonts w:hint="eastAsia"/>
        </w:rPr>
        <w:t xml:space="preserve"> resource set may be configured with different uplink power control parameters, </w:t>
      </w:r>
      <w:r>
        <w:rPr>
          <w:rFonts w:hint="eastAsia"/>
          <w:lang w:val="en-US" w:eastAsia="zh-CN"/>
        </w:rPr>
        <w:t xml:space="preserve">and </w:t>
      </w:r>
      <w:r>
        <w:rPr>
          <w:rFonts w:hint="eastAsia"/>
        </w:rPr>
        <w:t xml:space="preserve">spatial domain parameters, respectively. Considering that the gNB Rx antenna configurations in the SBFD and non-SBFD slots may be different, and the interference suffered by the gNB side is different, different UL power control parameters, </w:t>
      </w:r>
      <w:r>
        <w:rPr>
          <w:rFonts w:hint="eastAsia"/>
          <w:lang w:val="en-US" w:eastAsia="zh-CN"/>
        </w:rPr>
        <w:t xml:space="preserve">and </w:t>
      </w:r>
      <w:r>
        <w:rPr>
          <w:rFonts w:hint="eastAsia"/>
        </w:rPr>
        <w:t xml:space="preserve">spatial domain parameters, can be provided for </w:t>
      </w:r>
      <w:r>
        <w:rPr>
          <w:rFonts w:hint="eastAsia"/>
          <w:lang w:val="en-US" w:eastAsia="zh-CN"/>
        </w:rPr>
        <w:t>PUCCH</w:t>
      </w:r>
      <w:r>
        <w:rPr>
          <w:rFonts w:hint="eastAsia"/>
        </w:rPr>
        <w:t xml:space="preserve"> transmissions on the SBFD and non-SBFD slots, respectively. In addition, the UL usable PRBs in the SBFD and non-SBFD slots may be different</w:t>
      </w:r>
      <w:r>
        <w:rPr>
          <w:rFonts w:hint="eastAsia"/>
          <w:lang w:val="en-US" w:eastAsia="zh-CN"/>
        </w:rPr>
        <w:t>.</w:t>
      </w:r>
      <w:r>
        <w:rPr>
          <w:rFonts w:hint="eastAsia"/>
        </w:rPr>
        <w:t xml:space="preserve"> </w:t>
      </w:r>
      <w:r>
        <w:rPr>
          <w:rFonts w:hint="eastAsia"/>
          <w:lang w:val="en-US" w:eastAsia="zh-CN"/>
        </w:rPr>
        <w:t>T</w:t>
      </w:r>
      <w:r>
        <w:rPr>
          <w:rFonts w:hint="eastAsia"/>
        </w:rPr>
        <w:t xml:space="preserve">o ensure that the </w:t>
      </w:r>
      <w:r>
        <w:rPr>
          <w:rFonts w:hint="eastAsia"/>
          <w:lang w:val="en-US" w:eastAsia="zh-CN"/>
        </w:rPr>
        <w:t>PUCCH</w:t>
      </w:r>
      <w:r>
        <w:rPr>
          <w:rFonts w:hint="eastAsia"/>
        </w:rPr>
        <w:t xml:space="preserve"> transmission are within the UL usable PRBs, different frequency hopping parameters should be provided for </w:t>
      </w:r>
      <w:r>
        <w:rPr>
          <w:rFonts w:hint="eastAsia"/>
          <w:lang w:val="en-US" w:eastAsia="zh-CN"/>
        </w:rPr>
        <w:t>PUCCH</w:t>
      </w:r>
      <w:r>
        <w:rPr>
          <w:rFonts w:hint="eastAsia"/>
        </w:rPr>
        <w:t xml:space="preserve"> transmissions in the SBFD and non-SBFD slots, respectively. Therefore, separate sets of </w:t>
      </w:r>
      <w:r>
        <w:rPr>
          <w:rFonts w:hint="eastAsia"/>
          <w:lang w:val="en-US" w:eastAsia="zh-CN"/>
        </w:rPr>
        <w:t>PUCCH</w:t>
      </w:r>
      <w:r>
        <w:rPr>
          <w:rFonts w:hint="eastAsia"/>
        </w:rPr>
        <w:t xml:space="preserve"> resources associated with SBFD slots and non-SBFD slots can be configured to enable two </w:t>
      </w:r>
      <w:r>
        <w:rPr>
          <w:rFonts w:hint="eastAsia"/>
          <w:lang w:val="en-US" w:eastAsia="zh-CN"/>
        </w:rPr>
        <w:t>PUCCH</w:t>
      </w:r>
      <w:r>
        <w:rPr>
          <w:rFonts w:hint="eastAsia"/>
        </w:rPr>
        <w:t xml:space="preserve"> transmissions on SBFD slots only and non-SBFD slots only.</w:t>
      </w:r>
    </w:p>
    <w:p>
      <w:pPr>
        <w:spacing w:before="0" w:beforeLines="0" w:after="120" w:line="240" w:lineRule="auto"/>
        <w:rPr>
          <w:b/>
          <w:bCs/>
          <w:i/>
        </w:rPr>
      </w:pPr>
      <w:r>
        <w:rPr>
          <w:rFonts w:hint="eastAsia"/>
          <w:b/>
          <w:i/>
          <w:lang w:val="en-US" w:eastAsia="zh-CN"/>
        </w:rPr>
        <w:t>Proposal</w:t>
      </w:r>
      <w:r>
        <w:rPr>
          <w:b/>
          <w:i/>
        </w:rPr>
        <w:t xml:space="preserve"> </w:t>
      </w:r>
      <w:r>
        <w:rPr>
          <w:rFonts w:hint="eastAsia"/>
          <w:b/>
          <w:i/>
          <w:lang w:val="en-US" w:eastAsia="zh-CN"/>
        </w:rPr>
        <w:t>9</w:t>
      </w:r>
      <w:r>
        <w:rPr>
          <w:i/>
        </w:rPr>
        <w:t xml:space="preserve">: </w:t>
      </w:r>
      <w:r>
        <w:rPr>
          <w:rFonts w:hint="eastAsia"/>
          <w:b/>
          <w:bCs/>
          <w:i/>
          <w:lang w:val="en-US" w:eastAsia="zh-CN"/>
        </w:rPr>
        <w:t>S</w:t>
      </w:r>
      <w:r>
        <w:rPr>
          <w:rFonts w:hint="eastAsia"/>
          <w:b/>
          <w:bCs/>
          <w:i/>
        </w:rPr>
        <w:t xml:space="preserve">eparate sets of </w:t>
      </w:r>
      <w:r>
        <w:rPr>
          <w:rFonts w:hint="eastAsia"/>
          <w:b/>
          <w:bCs/>
          <w:i/>
          <w:lang w:val="en-US" w:eastAsia="zh-CN"/>
        </w:rPr>
        <w:t>PUCCH</w:t>
      </w:r>
      <w:r>
        <w:rPr>
          <w:rFonts w:hint="eastAsia"/>
          <w:b/>
          <w:bCs/>
          <w:i/>
        </w:rPr>
        <w:t xml:space="preserve"> resources associated with SBFD slots and non-SBFD slots can be configured to enable two </w:t>
      </w:r>
      <w:r>
        <w:rPr>
          <w:rFonts w:hint="eastAsia"/>
          <w:b/>
          <w:bCs/>
          <w:i/>
          <w:lang w:val="en-US" w:eastAsia="zh-CN"/>
        </w:rPr>
        <w:t>PUCCH</w:t>
      </w:r>
      <w:r>
        <w:rPr>
          <w:rFonts w:hint="eastAsia"/>
          <w:b/>
          <w:bCs/>
          <w:i/>
        </w:rPr>
        <w:t xml:space="preserve"> transmissions on SBFD slots only and non-SBFD slots only</w:t>
      </w:r>
      <w:r>
        <w:rPr>
          <w:b/>
          <w:bCs/>
          <w:i/>
        </w:rPr>
        <w:t>.</w:t>
      </w:r>
    </w:p>
    <w:p>
      <w:pPr>
        <w:spacing w:before="120" w:beforeLines="50"/>
        <w:rPr>
          <w:rFonts w:hint="default" w:ascii="Times" w:hAnsi="Times" w:eastAsia="Malgun Gothic"/>
          <w:lang w:val="en-US" w:eastAsia="zh-CN"/>
        </w:rPr>
      </w:pPr>
    </w:p>
    <w:p>
      <w:pPr>
        <w:pStyle w:val="2"/>
      </w:pPr>
      <w:r>
        <w:t>Conclusion</w:t>
      </w:r>
    </w:p>
    <w:p>
      <w:pPr>
        <w:rPr>
          <w:rFonts w:hint="eastAsia"/>
          <w:lang w:val="en-US" w:eastAsia="zh-CN"/>
        </w:rPr>
      </w:pPr>
      <w:bookmarkStart w:id="6" w:name="OLE_LINK3"/>
      <w:bookmarkStart w:id="7" w:name="OLE_LINK5"/>
      <w:bookmarkStart w:id="8" w:name="OLE_LINK39"/>
      <w:bookmarkStart w:id="9" w:name="OLE_LINK6"/>
      <w:bookmarkStart w:id="10" w:name="OLE_LINK40"/>
      <w:bookmarkStart w:id="11" w:name="OLE_LINK4"/>
      <w:r>
        <w:t>In this contribution, we focus on</w:t>
      </w:r>
      <w:r>
        <w:rPr>
          <w:rFonts w:hint="eastAsia"/>
          <w:lang w:val="en-US" w:eastAsia="zh-CN"/>
        </w:rPr>
        <w:t xml:space="preserve"> the SBFD operation, including</w:t>
      </w:r>
      <w:r>
        <w:t xml:space="preserve"> </w:t>
      </w:r>
      <w:r>
        <w:rPr>
          <w:rFonts w:hint="eastAsia"/>
          <w:lang w:val="en-US" w:eastAsia="zh-CN"/>
        </w:rPr>
        <w:t xml:space="preserve">the </w:t>
      </w:r>
      <w:r>
        <w:rPr>
          <w:rFonts w:eastAsia="Malgun Gothic"/>
          <w:lang w:val="en-US" w:eastAsia="ko-KR"/>
        </w:rPr>
        <w:t xml:space="preserve">semi-static indication of time </w:t>
      </w:r>
      <w:r>
        <w:rPr>
          <w:rFonts w:hint="eastAsia" w:eastAsia="宋体"/>
          <w:lang w:val="en-US" w:eastAsia="zh-CN"/>
        </w:rPr>
        <w:t xml:space="preserve">and frequency </w:t>
      </w:r>
      <w:r>
        <w:rPr>
          <w:rFonts w:eastAsia="Malgun Gothic"/>
          <w:lang w:val="en-US" w:eastAsia="ko-KR"/>
        </w:rPr>
        <w:t>location of SBFD subbands to UEs</w:t>
      </w:r>
      <w:r>
        <w:rPr>
          <w:rFonts w:hint="eastAsia" w:eastAsia="宋体"/>
          <w:lang w:val="en-US" w:eastAsia="zh-CN"/>
        </w:rPr>
        <w:t>, and the Tx/Rx/measurement procedures</w:t>
      </w:r>
      <w:r>
        <w:rPr>
          <w:rFonts w:hint="eastAsia"/>
          <w:bCs/>
          <w:lang w:val="en-US" w:eastAsia="zh-CN"/>
        </w:rPr>
        <w:t>.</w:t>
      </w:r>
      <w:r>
        <w:t xml:space="preserve"> Based on the discussion in section 2, we provide the following proposals</w:t>
      </w:r>
      <w:r>
        <w:rPr>
          <w:rFonts w:hint="eastAsia"/>
          <w:lang w:val="en-US" w:eastAsia="zh-CN"/>
        </w:rPr>
        <w:t>:</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r>
        <w:rPr>
          <w:rFonts w:hint="eastAsia"/>
          <w:b/>
          <w:bCs w:val="0"/>
          <w:i/>
          <w:iCs w:val="0"/>
          <w:szCs w:val="20"/>
          <w:lang w:val="en-US" w:eastAsia="zh-CN"/>
        </w:rPr>
        <w:t>Proposal 1：Time domain and frequency domain subband configuration for the SBFD UE should be performed at the cell level with cell-specific RRC signaling.</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 xml:space="preserve">Proposal 2: </w:t>
      </w:r>
      <w:r>
        <w:rPr>
          <w:rFonts w:hint="eastAsia"/>
          <w:b/>
          <w:bCs w:val="0"/>
          <w:i/>
          <w:iCs w:val="0"/>
          <w:szCs w:val="20"/>
          <w:lang w:val="en-GB" w:eastAsia="ja-JP"/>
        </w:rPr>
        <w:t>UE-specific configuration on frequency locations of SBFD subbands</w:t>
      </w:r>
      <w:r>
        <w:rPr>
          <w:rFonts w:hint="eastAsia"/>
          <w:b/>
          <w:bCs w:val="0"/>
          <w:i/>
          <w:iCs w:val="0"/>
          <w:szCs w:val="20"/>
          <w:lang w:val="en-US" w:eastAsia="zh-CN"/>
        </w:rPr>
        <w:t xml:space="preserve"> should not be supported.</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r>
        <w:rPr>
          <w:rFonts w:hint="eastAsia"/>
          <w:b/>
          <w:bCs w:val="0"/>
          <w:i/>
          <w:iCs w:val="0"/>
          <w:szCs w:val="20"/>
          <w:lang w:val="en-US" w:eastAsia="zh-CN"/>
        </w:rPr>
        <w:t>Proposal 3: The frequency location of SBFD subband and the guardband can be jointly indicated by gNB.</w:t>
      </w:r>
    </w:p>
    <w:p>
      <w:pPr>
        <w:rPr>
          <w:rFonts w:hint="default"/>
          <w:b w:val="0"/>
          <w:bCs/>
          <w:i w:val="0"/>
          <w:iCs/>
          <w:strike w:val="0"/>
          <w:dstrike w:val="0"/>
          <w:szCs w:val="20"/>
          <w:lang w:val="en-US" w:eastAsia="zh-CN"/>
        </w:rPr>
      </w:pPr>
      <w:r>
        <w:rPr>
          <w:rFonts w:hint="eastAsia"/>
          <w:b/>
          <w:i/>
          <w:iCs w:val="0"/>
          <w:strike w:val="0"/>
          <w:dstrike w:val="0"/>
          <w:szCs w:val="20"/>
          <w:lang w:val="en-US" w:eastAsia="zh-CN"/>
        </w:rPr>
        <w:t>Proposal 4: The period of the SBFD symbol can be integer multiple of the TDD UL/DL pattern period configuration.</w:t>
      </w:r>
    </w:p>
    <w:p>
      <w:pPr>
        <w:spacing w:before="0" w:beforeLines="0" w:after="120" w:line="240" w:lineRule="auto"/>
        <w:rPr>
          <w:b/>
          <w:bCs/>
          <w:i/>
          <w:iCs w:val="0"/>
        </w:rPr>
      </w:pPr>
      <w:r>
        <w:rPr>
          <w:rFonts w:cs="Times New Roman"/>
          <w:b/>
          <w:i/>
        </w:rPr>
        <w:t xml:space="preserve">Proposal </w:t>
      </w:r>
      <w:r>
        <w:rPr>
          <w:rFonts w:hint="eastAsia" w:cs="Times New Roman"/>
          <w:b/>
          <w:i/>
          <w:lang w:val="en-US" w:eastAsia="zh-CN"/>
        </w:rPr>
        <w:t>5</w:t>
      </w:r>
      <w:r>
        <w:rPr>
          <w:rFonts w:cs="Times New Roman"/>
          <w:b/>
          <w:i/>
        </w:rPr>
        <w:t xml:space="preserve">: </w:t>
      </w:r>
      <w:r>
        <w:rPr>
          <w:rFonts w:cs="Times New Roman"/>
          <w:b/>
          <w:bCs/>
          <w:i/>
          <w:iCs w:val="0"/>
        </w:rPr>
        <w:t>For</w:t>
      </w:r>
      <w:r>
        <w:rPr>
          <w:b/>
          <w:bCs/>
          <w:i/>
          <w:iCs w:val="0"/>
        </w:rPr>
        <w:t xml:space="preserve"> PDSCH, if PRG is determined </w:t>
      </w:r>
      <w:r>
        <w:rPr>
          <w:rFonts w:hint="eastAsia"/>
          <w:b/>
          <w:bCs/>
          <w:i/>
          <w:iCs w:val="0"/>
          <w:lang w:val="en-US" w:eastAsia="zh-CN"/>
        </w:rPr>
        <w:t>to be</w:t>
      </w:r>
      <w:r>
        <w:rPr>
          <w:b/>
          <w:bCs/>
          <w:i/>
          <w:iCs w:val="0"/>
        </w:rPr>
        <w:t xml:space="preserve"> wideband, </w:t>
      </w:r>
      <w:r>
        <w:rPr>
          <w:rFonts w:hint="eastAsia"/>
          <w:b/>
          <w:bCs/>
          <w:i/>
          <w:iCs w:val="0"/>
          <w:lang w:val="en-US" w:eastAsia="zh-CN"/>
        </w:rPr>
        <w:t>Option 1</w:t>
      </w:r>
      <w:r>
        <w:rPr>
          <w:b/>
          <w:bCs/>
          <w:i/>
          <w:iCs w:val="0"/>
        </w:rPr>
        <w:t xml:space="preserve"> </w:t>
      </w:r>
      <w:r>
        <w:rPr>
          <w:rFonts w:hint="eastAsia"/>
          <w:b/>
          <w:bCs/>
          <w:i/>
          <w:iCs w:val="0"/>
          <w:lang w:val="en-US" w:eastAsia="zh-CN"/>
        </w:rPr>
        <w:t>should be</w:t>
      </w:r>
      <w:r>
        <w:rPr>
          <w:b/>
          <w:bCs/>
          <w:i/>
          <w:iCs w:val="0"/>
        </w:rPr>
        <w:t xml:space="preserve"> supported</w:t>
      </w:r>
    </w:p>
    <w:p>
      <w:pPr>
        <w:pStyle w:val="55"/>
        <w:numPr>
          <w:ilvl w:val="0"/>
          <w:numId w:val="12"/>
        </w:numPr>
        <w:spacing w:before="0" w:beforeLines="0" w:after="120" w:line="240" w:lineRule="auto"/>
        <w:ind w:firstLineChars="0"/>
        <w:rPr>
          <w:b/>
          <w:bCs/>
          <w:i/>
          <w:iCs w:val="0"/>
        </w:rPr>
      </w:pPr>
      <w:r>
        <w:rPr>
          <w:b/>
          <w:bCs/>
          <w:i/>
          <w:iCs w:val="0"/>
        </w:rPr>
        <w:t>Option 1: non-contiguous frequency resources across two DL subbands but contiguous frequency resource within each DL subband can be allocated.</w:t>
      </w:r>
    </w:p>
    <w:p>
      <w:pPr>
        <w:widowControl/>
        <w:autoSpaceDE w:val="0"/>
        <w:autoSpaceDN w:val="0"/>
        <w:spacing w:before="0" w:beforeLines="0" w:after="120" w:line="240" w:lineRule="auto"/>
        <w:rPr>
          <w:b/>
          <w:bCs/>
          <w:i/>
        </w:rPr>
      </w:pPr>
      <w:r>
        <w:rPr>
          <w:b/>
          <w:i/>
        </w:rPr>
        <w:t xml:space="preserve">Proposal </w:t>
      </w:r>
      <w:r>
        <w:rPr>
          <w:rFonts w:hint="eastAsia"/>
          <w:b/>
          <w:i/>
          <w:lang w:val="en-US" w:eastAsia="zh-CN"/>
        </w:rPr>
        <w:t>6</w:t>
      </w:r>
      <w:r>
        <w:rPr>
          <w:b/>
          <w:i/>
        </w:rPr>
        <w:t>:</w:t>
      </w:r>
      <w:r>
        <w:rPr>
          <w:i/>
        </w:rPr>
        <w:t xml:space="preserve"> </w:t>
      </w:r>
      <w:r>
        <w:rPr>
          <w:rFonts w:hint="eastAsia"/>
          <w:b/>
          <w:bCs/>
          <w:i/>
          <w:lang w:val="en-US" w:eastAsia="zh-CN"/>
        </w:rPr>
        <w:t>F</w:t>
      </w:r>
      <w:r>
        <w:rPr>
          <w:b/>
          <w:bCs/>
          <w:i/>
        </w:rPr>
        <w:t xml:space="preserve">or CSI-RS resource allocation across DL subbands </w:t>
      </w:r>
      <w:r>
        <w:rPr>
          <w:rFonts w:hint="eastAsia"/>
          <w:b/>
          <w:bCs/>
          <w:i/>
          <w:lang w:val="en-US" w:eastAsia="zh-CN"/>
        </w:rPr>
        <w:t>in</w:t>
      </w:r>
      <w:r>
        <w:rPr>
          <w:b/>
          <w:bCs/>
          <w:i/>
        </w:rPr>
        <w:t xml:space="preserve"> SBF</w:t>
      </w:r>
      <w:r>
        <w:rPr>
          <w:rFonts w:hint="eastAsia"/>
          <w:b/>
          <w:bCs/>
          <w:i/>
          <w:lang w:val="en-US" w:eastAsia="zh-CN"/>
        </w:rPr>
        <w:t>D</w:t>
      </w:r>
      <w:r>
        <w:rPr>
          <w:b/>
          <w:bCs/>
          <w:i/>
        </w:rPr>
        <w:t xml:space="preserve"> </w:t>
      </w:r>
      <w:r>
        <w:rPr>
          <w:rFonts w:hint="eastAsia"/>
          <w:b/>
          <w:bCs/>
          <w:i/>
          <w:lang w:val="en-US" w:eastAsia="zh-CN"/>
        </w:rPr>
        <w:t>symbol</w:t>
      </w:r>
      <w:r>
        <w:rPr>
          <w:b/>
          <w:bCs/>
          <w:i/>
        </w:rPr>
        <w:t>s</w:t>
      </w:r>
      <w:r>
        <w:rPr>
          <w:rFonts w:hint="eastAsia"/>
          <w:b/>
          <w:bCs/>
          <w:i/>
          <w:lang w:val="en-US" w:eastAsia="zh-CN"/>
        </w:rPr>
        <w:t xml:space="preserve">, </w:t>
      </w:r>
      <w:r>
        <w:rPr>
          <w:b/>
          <w:bCs/>
          <w:i/>
        </w:rPr>
        <w:t>Option 2-1</w:t>
      </w:r>
      <w:r>
        <w:rPr>
          <w:rFonts w:hint="eastAsia"/>
          <w:b/>
          <w:bCs/>
          <w:i/>
          <w:lang w:val="en-US" w:eastAsia="zh-CN"/>
        </w:rPr>
        <w:t xml:space="preserve"> should be s</w:t>
      </w:r>
      <w:r>
        <w:rPr>
          <w:b/>
          <w:bCs/>
          <w:i/>
        </w:rPr>
        <w:t>upport</w:t>
      </w:r>
      <w:r>
        <w:rPr>
          <w:rFonts w:hint="eastAsia"/>
          <w:b/>
          <w:bCs/>
          <w:i/>
          <w:lang w:val="en-US" w:eastAsia="zh-CN"/>
        </w:rPr>
        <w:t>ed</w:t>
      </w:r>
      <w:r>
        <w:rPr>
          <w:b/>
          <w:bCs/>
          <w:i/>
        </w:rPr>
        <w:t>.</w:t>
      </w:r>
    </w:p>
    <w:p>
      <w:pPr>
        <w:pStyle w:val="55"/>
        <w:numPr>
          <w:ilvl w:val="0"/>
          <w:numId w:val="12"/>
        </w:numPr>
        <w:spacing w:before="0" w:beforeLines="0" w:after="120" w:line="240" w:lineRule="auto"/>
        <w:ind w:firstLineChars="0"/>
        <w:rPr>
          <w:b/>
          <w:bCs/>
          <w:i/>
        </w:rPr>
      </w:pPr>
      <w:r>
        <w:rPr>
          <w:b/>
          <w:bCs/>
          <w:i/>
        </w:rPr>
        <w:t>Option 2-1: non-consecutive CSI-RS frequency-domain resources allocation across two DL subbands by one CSI-RS resource.</w:t>
      </w:r>
    </w:p>
    <w:p>
      <w:pPr>
        <w:spacing w:before="120" w:beforeLines="50"/>
        <w:rPr>
          <w:rFonts w:hint="eastAsia"/>
          <w:b/>
          <w:i/>
          <w:lang w:val="en-US" w:eastAsia="zh-CN"/>
        </w:rPr>
      </w:pPr>
      <w:r>
        <w:rPr>
          <w:rFonts w:hint="eastAsia" w:eastAsiaTheme="minorEastAsia"/>
          <w:b/>
          <w:bCs/>
          <w:i/>
          <w:iCs/>
          <w:lang w:val="en-US" w:eastAsia="zh-CN"/>
        </w:rPr>
        <w:t>Proposal 7: Option 1-2 should be supported for PDSCH resource allocation</w:t>
      </w:r>
      <w:r>
        <w:rPr>
          <w:rFonts w:eastAsiaTheme="minorEastAsia"/>
          <w:b/>
          <w:bCs/>
          <w:i/>
          <w:iCs/>
          <w:lang w:eastAsia="zh-CN"/>
        </w:rPr>
        <w:t xml:space="preserve"> type 1 for non-contiguous FDRA</w:t>
      </w:r>
      <w:r>
        <w:rPr>
          <w:rFonts w:hint="eastAsia" w:eastAsiaTheme="minorEastAsia"/>
          <w:b/>
          <w:bCs/>
          <w:i/>
          <w:iCs/>
          <w:lang w:val="en-US" w:eastAsia="zh-CN"/>
        </w:rPr>
        <w:t>.</w:t>
      </w:r>
    </w:p>
    <w:p>
      <w:pPr>
        <w:rPr>
          <w:rFonts w:hint="default"/>
          <w:b/>
          <w:i/>
          <w:iCs w:val="0"/>
          <w:strike w:val="0"/>
          <w:dstrike w:val="0"/>
          <w:szCs w:val="20"/>
          <w:lang w:val="en-US" w:eastAsia="zh-CN"/>
        </w:rPr>
      </w:pPr>
      <w:r>
        <w:rPr>
          <w:rFonts w:hint="eastAsia"/>
          <w:b/>
          <w:i/>
          <w:lang w:val="en-US" w:eastAsia="zh-CN"/>
        </w:rPr>
        <w:t>Proposal</w:t>
      </w:r>
      <w:r>
        <w:rPr>
          <w:b/>
          <w:i/>
        </w:rPr>
        <w:t xml:space="preserve"> </w:t>
      </w:r>
      <w:r>
        <w:rPr>
          <w:rFonts w:hint="eastAsia"/>
          <w:b/>
          <w:i/>
          <w:lang w:val="en-US" w:eastAsia="zh-CN"/>
        </w:rPr>
        <w:t>8</w:t>
      </w:r>
      <w:r>
        <w:rPr>
          <w:i/>
        </w:rPr>
        <w:t xml:space="preserve">: </w:t>
      </w:r>
      <w:r>
        <w:rPr>
          <w:rFonts w:hint="eastAsia"/>
          <w:b/>
          <w:bCs/>
          <w:i/>
          <w:lang w:val="en-US" w:eastAsia="zh-CN"/>
        </w:rPr>
        <w:t>S</w:t>
      </w:r>
      <w:r>
        <w:rPr>
          <w:rFonts w:hint="eastAsia"/>
          <w:b/>
          <w:bCs/>
          <w:i/>
        </w:rPr>
        <w:t>eparate sets of SRS resources associated with SBFD slots and non-SBFD slots can be configured to enable two SRS transmissions on SBFD slots only and non-SBFD slots only</w:t>
      </w:r>
      <w:r>
        <w:rPr>
          <w:b/>
          <w:bCs/>
          <w:i/>
        </w:rPr>
        <w:t>.</w:t>
      </w:r>
    </w:p>
    <w:p>
      <w:pPr>
        <w:spacing w:before="0" w:beforeLines="0" w:after="120" w:line="240" w:lineRule="auto"/>
        <w:rPr>
          <w:b/>
          <w:bCs/>
          <w:i/>
        </w:rPr>
      </w:pPr>
      <w:r>
        <w:rPr>
          <w:rFonts w:hint="eastAsia"/>
          <w:b/>
          <w:i/>
          <w:lang w:val="en-US" w:eastAsia="zh-CN"/>
        </w:rPr>
        <w:t>Proposal</w:t>
      </w:r>
      <w:r>
        <w:rPr>
          <w:b/>
          <w:i/>
        </w:rPr>
        <w:t xml:space="preserve"> </w:t>
      </w:r>
      <w:r>
        <w:rPr>
          <w:rFonts w:hint="eastAsia"/>
          <w:b/>
          <w:i/>
          <w:lang w:val="en-US" w:eastAsia="zh-CN"/>
        </w:rPr>
        <w:t>9</w:t>
      </w:r>
      <w:r>
        <w:rPr>
          <w:i/>
        </w:rPr>
        <w:t xml:space="preserve">: </w:t>
      </w:r>
      <w:r>
        <w:rPr>
          <w:rFonts w:hint="eastAsia"/>
          <w:b/>
          <w:bCs/>
          <w:i/>
          <w:lang w:val="en-US" w:eastAsia="zh-CN"/>
        </w:rPr>
        <w:t>S</w:t>
      </w:r>
      <w:r>
        <w:rPr>
          <w:rFonts w:hint="eastAsia"/>
          <w:b/>
          <w:bCs/>
          <w:i/>
        </w:rPr>
        <w:t xml:space="preserve">eparate sets of </w:t>
      </w:r>
      <w:r>
        <w:rPr>
          <w:rFonts w:hint="eastAsia"/>
          <w:b/>
          <w:bCs/>
          <w:i/>
          <w:lang w:val="en-US" w:eastAsia="zh-CN"/>
        </w:rPr>
        <w:t>PUCCH</w:t>
      </w:r>
      <w:r>
        <w:rPr>
          <w:rFonts w:hint="eastAsia"/>
          <w:b/>
          <w:bCs/>
          <w:i/>
        </w:rPr>
        <w:t xml:space="preserve"> resources associated with SBFD slots and non-SBFD slots can be configured to enable two </w:t>
      </w:r>
      <w:r>
        <w:rPr>
          <w:rFonts w:hint="eastAsia"/>
          <w:b/>
          <w:bCs/>
          <w:i/>
          <w:lang w:val="en-US" w:eastAsia="zh-CN"/>
        </w:rPr>
        <w:t>PUCCH</w:t>
      </w:r>
      <w:r>
        <w:rPr>
          <w:rFonts w:hint="eastAsia"/>
          <w:b/>
          <w:bCs/>
          <w:i/>
        </w:rPr>
        <w:t xml:space="preserve"> transmissions on SBFD slots only and non-SBFD slots only</w:t>
      </w:r>
      <w:r>
        <w:rPr>
          <w:b/>
          <w:bCs/>
          <w:i/>
        </w:rPr>
        <w:t>.</w:t>
      </w:r>
    </w:p>
    <w:p>
      <w:pPr>
        <w:rPr>
          <w:rFonts w:hint="eastAsia"/>
          <w:b/>
          <w:bCs w:val="0"/>
          <w:i/>
          <w:iCs w:val="0"/>
          <w:szCs w:val="20"/>
          <w:lang w:val="en-US" w:eastAsia="zh-CN"/>
        </w:rPr>
      </w:pPr>
    </w:p>
    <w:bookmarkEnd w:id="6"/>
    <w:bookmarkEnd w:id="7"/>
    <w:bookmarkEnd w:id="8"/>
    <w:bookmarkEnd w:id="9"/>
    <w:bookmarkEnd w:id="10"/>
    <w:bookmarkEnd w:id="11"/>
    <w:p>
      <w:pPr>
        <w:pStyle w:val="2"/>
      </w:pPr>
      <w:r>
        <w:t>Reference</w:t>
      </w:r>
    </w:p>
    <w:bookmarkEnd w:id="1"/>
    <w:p>
      <w:pPr>
        <w:pStyle w:val="55"/>
        <w:numPr>
          <w:ilvl w:val="0"/>
          <w:numId w:val="14"/>
        </w:numPr>
        <w:ind w:firstLineChars="0"/>
        <w:jc w:val="left"/>
        <w:rPr>
          <w:lang w:eastAsia="zh-CN"/>
        </w:rPr>
      </w:pPr>
      <w:r>
        <w:rPr>
          <w:lang w:eastAsia="zh-CN"/>
        </w:rPr>
        <w:t>R</w:t>
      </w:r>
      <w:r>
        <w:rPr>
          <w:rFonts w:hint="eastAsia"/>
          <w:lang w:val="en-US" w:eastAsia="zh-CN"/>
        </w:rPr>
        <w:t>P-234035</w:t>
      </w:r>
      <w:r>
        <w:rPr>
          <w:rFonts w:hint="eastAsia"/>
          <w:lang w:val="en-US" w:eastAsia="zh-CN"/>
        </w:rPr>
        <w:tab/>
      </w:r>
      <w:r>
        <w:rPr>
          <w:rFonts w:hint="eastAsia"/>
          <w:lang w:val="en-US" w:eastAsia="zh-CN"/>
        </w:rPr>
        <w:t>WID revision: Evolution of NR duplex operation: Sub-band full duplex (SBFD)</w:t>
      </w:r>
      <w:r>
        <w:rPr>
          <w:lang w:eastAsia="zh-CN"/>
        </w:rPr>
        <w:t xml:space="preserve">, </w:t>
      </w:r>
      <w:r>
        <w:rPr>
          <w:rFonts w:hint="eastAsia"/>
          <w:lang w:val="en-US" w:eastAsia="zh-CN"/>
        </w:rPr>
        <w:tab/>
      </w:r>
      <w:r>
        <w:rPr>
          <w:rFonts w:hint="eastAsia"/>
          <w:lang w:val="en-US" w:eastAsia="zh-CN"/>
        </w:rPr>
        <w:t xml:space="preserve">CMCC, </w:t>
      </w:r>
      <w:r>
        <w:rPr>
          <w:rFonts w:hint="eastAsia"/>
          <w:lang w:val="en-US" w:eastAsia="zh-CN"/>
        </w:rPr>
        <w:tab/>
      </w:r>
      <w:r>
        <w:rPr>
          <w:lang w:eastAsia="zh-CN"/>
        </w:rPr>
        <w:t>202</w:t>
      </w:r>
      <w:r>
        <w:rPr>
          <w:rFonts w:hint="eastAsia"/>
          <w:lang w:val="en-US" w:eastAsia="zh-CN"/>
        </w:rPr>
        <w:t>3</w:t>
      </w:r>
      <w:r>
        <w:rPr>
          <w:lang w:eastAsia="zh-CN"/>
        </w:rPr>
        <w:t>-</w:t>
      </w:r>
      <w:r>
        <w:rPr>
          <w:rFonts w:hint="eastAsia"/>
          <w:lang w:val="en-US" w:eastAsia="zh-CN"/>
        </w:rPr>
        <w:t>12</w:t>
      </w:r>
    </w:p>
    <w:p>
      <w:pPr>
        <w:pStyle w:val="55"/>
        <w:numPr>
          <w:ilvl w:val="0"/>
          <w:numId w:val="14"/>
        </w:numPr>
        <w:ind w:firstLineChars="0"/>
        <w:jc w:val="left"/>
        <w:rPr>
          <w:lang w:eastAsia="zh-CN"/>
        </w:rPr>
      </w:pPr>
      <w:r>
        <w:rPr>
          <w:rFonts w:hint="eastAsia"/>
          <w:lang w:val="en-US" w:eastAsia="zh-CN"/>
        </w:rPr>
        <w:t>Draft_Minutes_report_RAN1#116_v020, 2024-03</w:t>
      </w:r>
    </w:p>
    <w:p>
      <w:pPr>
        <w:pStyle w:val="55"/>
        <w:numPr>
          <w:ilvl w:val="0"/>
          <w:numId w:val="14"/>
        </w:numPr>
        <w:ind w:firstLineChars="0"/>
        <w:jc w:val="left"/>
        <w:rPr>
          <w:lang w:eastAsia="zh-CN"/>
        </w:rPr>
      </w:pPr>
      <w:r>
        <w:rPr>
          <w:rFonts w:hint="eastAsia"/>
          <w:lang w:val="en-US" w:eastAsia="zh-CN"/>
        </w:rPr>
        <w:t>R1-2401654</w:t>
      </w:r>
      <w:r>
        <w:rPr>
          <w:rFonts w:hint="eastAsia"/>
          <w:lang w:val="en-US" w:eastAsia="zh-CN"/>
        </w:rPr>
        <w:tab/>
      </w:r>
      <w:r>
        <w:rPr>
          <w:rFonts w:hint="eastAsia"/>
          <w:lang w:val="en-US" w:eastAsia="zh-CN"/>
        </w:rPr>
        <w:t xml:space="preserve">Summary #3 of </w:t>
      </w:r>
      <w:r>
        <w:rPr>
          <w:rFonts w:hint="eastAsia"/>
          <w:lang w:val="en-US" w:eastAsia="zh-CN"/>
        </w:rPr>
        <w:tab/>
      </w:r>
      <w:r>
        <w:rPr>
          <w:rFonts w:hint="eastAsia"/>
          <w:lang w:val="en-US" w:eastAsia="zh-CN"/>
        </w:rPr>
        <w:t>SBFD TX/RX/measurement procedures, CATT, 2024-03</w:t>
      </w:r>
    </w:p>
    <w:p>
      <w:pPr>
        <w:pStyle w:val="55"/>
        <w:numPr>
          <w:ilvl w:val="0"/>
          <w:numId w:val="14"/>
        </w:numPr>
        <w:ind w:firstLineChars="0"/>
        <w:jc w:val="left"/>
        <w:rPr>
          <w:lang w:eastAsia="zh-CN"/>
        </w:rPr>
      </w:pPr>
      <w:r>
        <w:rPr>
          <w:rFonts w:hint="eastAsia"/>
          <w:lang w:val="en-US" w:eastAsia="zh-CN"/>
        </w:rPr>
        <w:t>Draft_Minutes_report_RAN1#116bis_v020, 2024-04</w:t>
      </w:r>
    </w:p>
    <w:p>
      <w:pPr>
        <w:pStyle w:val="55"/>
        <w:numPr>
          <w:ilvl w:val="0"/>
          <w:numId w:val="0"/>
        </w:numPr>
        <w:ind w:leftChars="0"/>
        <w:jc w:val="left"/>
        <w:rPr>
          <w:lang w:eastAsia="zh-CN"/>
        </w:rPr>
      </w:pPr>
    </w:p>
    <w:p>
      <w:pPr>
        <w:pStyle w:val="55"/>
        <w:numPr>
          <w:ilvl w:val="0"/>
          <w:numId w:val="0"/>
        </w:numPr>
        <w:ind w:leftChars="0"/>
        <w:jc w:val="left"/>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바탕">
    <w:altName w:val="Malgun Gothic"/>
    <w:panose1 w:val="02030600000101010101"/>
    <w:charset w:val="81"/>
    <w:family w:val="roman"/>
    <w:pitch w:val="default"/>
    <w:sig w:usb0="00000000" w:usb1="00000000"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F796D"/>
    <w:multiLevelType w:val="multilevel"/>
    <w:tmpl w:val="02BF796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6377B66"/>
    <w:multiLevelType w:val="multilevel"/>
    <w:tmpl w:val="16377B6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70065AA"/>
    <w:multiLevelType w:val="multilevel"/>
    <w:tmpl w:val="270065A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8">
    <w:nsid w:val="45E05BD5"/>
    <w:multiLevelType w:val="multilevel"/>
    <w:tmpl w:val="45E05BD5"/>
    <w:lvl w:ilvl="0" w:tentative="0">
      <w:start w:val="1"/>
      <w:numFmt w:val="decimal"/>
      <w:pStyle w:val="6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2EC12BD"/>
    <w:multiLevelType w:val="multilevel"/>
    <w:tmpl w:val="72EC12BD"/>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0">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74CC7506"/>
    <w:multiLevelType w:val="multilevel"/>
    <w:tmpl w:val="74CC7506"/>
    <w:lvl w:ilvl="0" w:tentative="0">
      <w:start w:val="1"/>
      <w:numFmt w:val="decimal"/>
      <w:pStyle w:val="40"/>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0"/>
  </w:num>
  <w:num w:numId="3">
    <w:abstractNumId w:val="7"/>
  </w:num>
  <w:num w:numId="4">
    <w:abstractNumId w:val="11"/>
  </w:num>
  <w:num w:numId="5">
    <w:abstractNumId w:val="12"/>
  </w:num>
  <w:num w:numId="6">
    <w:abstractNumId w:val="8"/>
  </w:num>
  <w:num w:numId="7">
    <w:abstractNumId w:val="13"/>
  </w:num>
  <w:num w:numId="8">
    <w:abstractNumId w:val="2"/>
  </w:num>
  <w:num w:numId="9">
    <w:abstractNumId w:val="1"/>
  </w:num>
  <w:num w:numId="10">
    <w:abstractNumId w:val="6"/>
  </w:num>
  <w:num w:numId="11">
    <w:abstractNumId w:val="0"/>
  </w:num>
  <w:num w:numId="12">
    <w:abstractNumId w:val="5"/>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1404238"/>
    <w:rsid w:val="0556552C"/>
    <w:rsid w:val="05F32C94"/>
    <w:rsid w:val="0698494C"/>
    <w:rsid w:val="0A117D20"/>
    <w:rsid w:val="0AE04D11"/>
    <w:rsid w:val="0B602FBE"/>
    <w:rsid w:val="0C4B0E93"/>
    <w:rsid w:val="0E1A61D8"/>
    <w:rsid w:val="0E225C58"/>
    <w:rsid w:val="0E6911DF"/>
    <w:rsid w:val="0EC4383D"/>
    <w:rsid w:val="0F0F0BED"/>
    <w:rsid w:val="0FF52C16"/>
    <w:rsid w:val="10A80B60"/>
    <w:rsid w:val="10AA4AD6"/>
    <w:rsid w:val="119F406C"/>
    <w:rsid w:val="139E1370"/>
    <w:rsid w:val="14283870"/>
    <w:rsid w:val="16881E22"/>
    <w:rsid w:val="16896A50"/>
    <w:rsid w:val="192E0655"/>
    <w:rsid w:val="197E1E30"/>
    <w:rsid w:val="1ADF4FC4"/>
    <w:rsid w:val="1B6D049A"/>
    <w:rsid w:val="1D233F3F"/>
    <w:rsid w:val="1D537CF1"/>
    <w:rsid w:val="1D885B45"/>
    <w:rsid w:val="1E00487E"/>
    <w:rsid w:val="1E3F33CA"/>
    <w:rsid w:val="1E672E73"/>
    <w:rsid w:val="1F4B31FF"/>
    <w:rsid w:val="1FE60956"/>
    <w:rsid w:val="220C2222"/>
    <w:rsid w:val="23602280"/>
    <w:rsid w:val="24164F9F"/>
    <w:rsid w:val="283369D9"/>
    <w:rsid w:val="298441EF"/>
    <w:rsid w:val="2B560BA8"/>
    <w:rsid w:val="2B7E5FB4"/>
    <w:rsid w:val="2C84203A"/>
    <w:rsid w:val="2C876C12"/>
    <w:rsid w:val="2D346D5E"/>
    <w:rsid w:val="2D6E7958"/>
    <w:rsid w:val="2DC83C66"/>
    <w:rsid w:val="2E3E13E7"/>
    <w:rsid w:val="2E7349E0"/>
    <w:rsid w:val="2F1F2E87"/>
    <w:rsid w:val="2F29409D"/>
    <w:rsid w:val="31C52518"/>
    <w:rsid w:val="31DE45D1"/>
    <w:rsid w:val="34382BF7"/>
    <w:rsid w:val="34F02636"/>
    <w:rsid w:val="35A345E4"/>
    <w:rsid w:val="36C571C3"/>
    <w:rsid w:val="37DC2534"/>
    <w:rsid w:val="385910DC"/>
    <w:rsid w:val="397F673D"/>
    <w:rsid w:val="3A0A1771"/>
    <w:rsid w:val="3CF87929"/>
    <w:rsid w:val="3D1A31D5"/>
    <w:rsid w:val="402368B0"/>
    <w:rsid w:val="40E64C03"/>
    <w:rsid w:val="43B92A18"/>
    <w:rsid w:val="45ED6C35"/>
    <w:rsid w:val="47004D5B"/>
    <w:rsid w:val="47A46C49"/>
    <w:rsid w:val="48792000"/>
    <w:rsid w:val="48B03A9C"/>
    <w:rsid w:val="48C33C84"/>
    <w:rsid w:val="4A0F5398"/>
    <w:rsid w:val="4A247D73"/>
    <w:rsid w:val="4A5563BA"/>
    <w:rsid w:val="4EE31812"/>
    <w:rsid w:val="511B2E45"/>
    <w:rsid w:val="51A6413F"/>
    <w:rsid w:val="542B1F5A"/>
    <w:rsid w:val="557D7CF0"/>
    <w:rsid w:val="568D08AA"/>
    <w:rsid w:val="57832449"/>
    <w:rsid w:val="57896873"/>
    <w:rsid w:val="58A36C07"/>
    <w:rsid w:val="5A236FFA"/>
    <w:rsid w:val="5AD73495"/>
    <w:rsid w:val="5B8C599C"/>
    <w:rsid w:val="5FE404A4"/>
    <w:rsid w:val="61F1064B"/>
    <w:rsid w:val="620A281A"/>
    <w:rsid w:val="62E36ECA"/>
    <w:rsid w:val="643111CD"/>
    <w:rsid w:val="68122C5B"/>
    <w:rsid w:val="68E32000"/>
    <w:rsid w:val="68E450C8"/>
    <w:rsid w:val="69065363"/>
    <w:rsid w:val="69783C46"/>
    <w:rsid w:val="6AC8766D"/>
    <w:rsid w:val="6B6A27A4"/>
    <w:rsid w:val="6DDF0931"/>
    <w:rsid w:val="6DFF249A"/>
    <w:rsid w:val="6E4F0843"/>
    <w:rsid w:val="70A23833"/>
    <w:rsid w:val="70DC11F3"/>
    <w:rsid w:val="71881DE0"/>
    <w:rsid w:val="71F37DF8"/>
    <w:rsid w:val="72E826E6"/>
    <w:rsid w:val="7338000B"/>
    <w:rsid w:val="735A0ADC"/>
    <w:rsid w:val="745E0D6E"/>
    <w:rsid w:val="75F13A79"/>
    <w:rsid w:val="78F66947"/>
    <w:rsid w:val="7ADD3110"/>
    <w:rsid w:val="7B6244CD"/>
    <w:rsid w:val="7CD65923"/>
    <w:rsid w:val="7DBF7E6A"/>
    <w:rsid w:val="7DED11B2"/>
    <w:rsid w:val="7DEF34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9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93"/>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caption"/>
    <w:basedOn w:val="1"/>
    <w:next w:val="1"/>
    <w:link w:val="7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74"/>
    <w:qFormat/>
    <w:uiPriority w:val="0"/>
    <w:rPr>
      <w:rFonts w:ascii="宋体"/>
      <w:sz w:val="18"/>
      <w:szCs w:val="18"/>
    </w:rPr>
  </w:style>
  <w:style w:type="paragraph" w:styleId="15">
    <w:name w:val="annotation text"/>
    <w:basedOn w:val="1"/>
    <w:link w:val="94"/>
    <w:qFormat/>
    <w:uiPriority w:val="0"/>
    <w:rPr>
      <w:sz w:val="20"/>
      <w:szCs w:val="20"/>
    </w:rPr>
  </w:style>
  <w:style w:type="paragraph" w:styleId="16">
    <w:name w:val="Body Text"/>
    <w:basedOn w:val="1"/>
    <w:link w:val="85"/>
    <w:qFormat/>
    <w:uiPriority w:val="0"/>
    <w:rPr>
      <w:sz w:val="20"/>
      <w:szCs w:val="20"/>
    </w:rPr>
  </w:style>
  <w:style w:type="paragraph" w:styleId="17">
    <w:name w:val="Body Text Indent"/>
    <w:basedOn w:val="1"/>
    <w:link w:val="79"/>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7"/>
    <w:qFormat/>
    <w:uiPriority w:val="0"/>
    <w:pPr>
      <w:tabs>
        <w:tab w:val="center" w:pos="4680"/>
        <w:tab w:val="right" w:pos="9360"/>
      </w:tabs>
    </w:pPr>
  </w:style>
  <w:style w:type="paragraph" w:styleId="22">
    <w:name w:val="header"/>
    <w:basedOn w:val="1"/>
    <w:link w:val="83"/>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98"/>
    <w:qFormat/>
    <w:uiPriority w:val="0"/>
    <w:rPr>
      <w:b/>
      <w:bCs/>
    </w:rPr>
  </w:style>
  <w:style w:type="paragraph" w:styleId="28">
    <w:name w:val="Body Text First Indent 2"/>
    <w:basedOn w:val="17"/>
    <w:link w:val="78"/>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39">
    <w:name w:val="References"/>
    <w:basedOn w:val="1"/>
    <w:qFormat/>
    <w:uiPriority w:val="0"/>
    <w:pPr>
      <w:numPr>
        <w:ilvl w:val="0"/>
        <w:numId w:val="3"/>
      </w:numPr>
      <w:adjustRightInd/>
      <w:spacing w:after="60"/>
      <w:jc w:val="left"/>
    </w:pPr>
    <w:rPr>
      <w:sz w:val="20"/>
      <w:szCs w:val="16"/>
    </w:rPr>
  </w:style>
  <w:style w:type="paragraph" w:customStyle="1" w:styleId="40">
    <w:name w:val="reference"/>
    <w:basedOn w:val="1"/>
    <w:qFormat/>
    <w:uiPriority w:val="0"/>
    <w:pPr>
      <w:widowControl w:val="0"/>
      <w:numPr>
        <w:ilvl w:val="0"/>
        <w:numId w:val="4"/>
      </w:numPr>
      <w:snapToGrid/>
      <w:spacing w:after="60"/>
      <w:jc w:val="left"/>
    </w:pPr>
    <w:rPr>
      <w:rFonts w:eastAsia="Times New Roman"/>
      <w:szCs w:val="20"/>
      <w:lang w:val="en-GB"/>
    </w:rPr>
  </w:style>
  <w:style w:type="paragraph" w:customStyle="1" w:styleId="41">
    <w:name w:val="B1"/>
    <w:basedOn w:val="13"/>
    <w:link w:val="80"/>
    <w:qFormat/>
    <w:uiPriority w:val="0"/>
    <w:pPr>
      <w:autoSpaceDE/>
      <w:autoSpaceDN/>
      <w:adjustRightInd/>
      <w:snapToGrid/>
      <w:spacing w:after="180"/>
      <w:ind w:left="568" w:hanging="284"/>
      <w:jc w:val="left"/>
    </w:pPr>
    <w:rPr>
      <w:sz w:val="20"/>
      <w:szCs w:val="20"/>
      <w:lang w:val="en-GB"/>
    </w:rPr>
  </w:style>
  <w:style w:type="paragraph" w:customStyle="1" w:styleId="42">
    <w:name w:val="样式 段前: 6 磅 底端: (单实线 自动设置  1.5 磅 行宽)1"/>
    <w:basedOn w:val="1"/>
    <w:qFormat/>
    <w:uiPriority w:val="0"/>
    <w:pPr>
      <w:spacing w:before="120"/>
    </w:pPr>
    <w:rPr>
      <w:rFonts w:cs="宋体"/>
      <w:szCs w:val="20"/>
    </w:rPr>
  </w:style>
  <w:style w:type="paragraph" w:customStyle="1" w:styleId="43">
    <w:name w:val="样式 段前: 6 磅 底端: (单实线 自动设置  1.5 磅 行宽)"/>
    <w:basedOn w:val="1"/>
    <w:qFormat/>
    <w:uiPriority w:val="0"/>
    <w:pPr>
      <w:spacing w:before="120"/>
    </w:pPr>
    <w:rPr>
      <w:rFonts w:cs="宋体"/>
      <w:szCs w:val="20"/>
    </w:rPr>
  </w:style>
  <w:style w:type="paragraph" w:customStyle="1" w:styleId="44">
    <w:name w:val="TAN"/>
    <w:basedOn w:val="45"/>
    <w:qFormat/>
    <w:uiPriority w:val="0"/>
    <w:pPr>
      <w:ind w:left="851" w:hanging="851"/>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7">
    <w:name w:val="CR Cover Page"/>
    <w:qFormat/>
    <w:uiPriority w:val="0"/>
    <w:pPr>
      <w:spacing w:after="120"/>
    </w:pPr>
    <w:rPr>
      <w:rFonts w:ascii="Arial" w:hAnsi="Arial" w:eastAsia="Times New Roman" w:cs="Times New Roman"/>
      <w:lang w:val="en-GB" w:eastAsia="en-US" w:bidi="ar-SA"/>
    </w:rPr>
  </w:style>
  <w:style w:type="paragraph" w:customStyle="1" w:styleId="48">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49">
    <w:name w:val="RAN1 bullet3"/>
    <w:basedOn w:val="1"/>
    <w:qFormat/>
    <w:uiPriority w:val="0"/>
    <w:pPr>
      <w:numPr>
        <w:ilvl w:val="2"/>
        <w:numId w:val="5"/>
      </w:numPr>
      <w:tabs>
        <w:tab w:val="left" w:pos="1440"/>
      </w:tabs>
      <w:autoSpaceDE/>
      <w:autoSpaceDN/>
      <w:adjustRightInd/>
      <w:snapToGrid/>
      <w:spacing w:after="0"/>
      <w:jc w:val="left"/>
    </w:pPr>
    <w:rPr>
      <w:rFonts w:ascii="Times" w:hAnsi="Times" w:eastAsia="Batang"/>
      <w:sz w:val="20"/>
      <w:szCs w:val="20"/>
    </w:rPr>
  </w:style>
  <w:style w:type="paragraph" w:customStyle="1" w:styleId="50">
    <w:name w:val="MTDisplayEquation"/>
    <w:basedOn w:val="1"/>
    <w:next w:val="1"/>
    <w:link w:val="88"/>
    <w:qFormat/>
    <w:uiPriority w:val="0"/>
    <w:pPr>
      <w:pBdr>
        <w:bottom w:val="single" w:color="auto" w:sz="12" w:space="1"/>
      </w:pBdr>
      <w:tabs>
        <w:tab w:val="center" w:pos="4660"/>
        <w:tab w:val="right" w:pos="9320"/>
      </w:tabs>
    </w:pPr>
    <w:rPr>
      <w:lang w:eastAsia="zh-CN"/>
    </w:rPr>
  </w:style>
  <w:style w:type="paragraph" w:customStyle="1" w:styleId="51">
    <w:name w:val="TAH"/>
    <w:basedOn w:val="52"/>
    <w:link w:val="96"/>
    <w:qFormat/>
    <w:uiPriority w:val="0"/>
    <w:pPr>
      <w:overflowPunct/>
      <w:autoSpaceDE/>
      <w:autoSpaceDN/>
      <w:adjustRightInd/>
      <w:textAlignment w:val="auto"/>
    </w:pPr>
    <w:rPr>
      <w:rFonts w:eastAsia="Malgun Gothic"/>
      <w:b/>
      <w:color w:val="000000"/>
    </w:rPr>
  </w:style>
  <w:style w:type="paragraph" w:customStyle="1" w:styleId="52">
    <w:name w:val="TAC"/>
    <w:basedOn w:val="45"/>
    <w:link w:val="8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3">
    <w:name w:val="Guidance"/>
    <w:basedOn w:val="1"/>
    <w:link w:val="73"/>
    <w:qFormat/>
    <w:uiPriority w:val="0"/>
    <w:pPr>
      <w:autoSpaceDE/>
      <w:autoSpaceDN/>
      <w:adjustRightInd/>
      <w:snapToGrid/>
      <w:spacing w:after="180"/>
      <w:jc w:val="left"/>
    </w:pPr>
    <w:rPr>
      <w:i/>
      <w:color w:val="0000FF"/>
      <w:sz w:val="20"/>
      <w:szCs w:val="20"/>
      <w:lang w:val="en-GB"/>
    </w:rPr>
  </w:style>
  <w:style w:type="paragraph" w:customStyle="1" w:styleId="54">
    <w:name w:val="tablecell"/>
    <w:basedOn w:val="1"/>
    <w:qFormat/>
    <w:uiPriority w:val="0"/>
    <w:pPr>
      <w:spacing w:before="40" w:after="40"/>
      <w:jc w:val="left"/>
    </w:pPr>
    <w:rPr>
      <w:rFonts w:hAnsi="Arial" w:cs="Arial"/>
      <w:sz w:val="20"/>
      <w:szCs w:val="20"/>
      <w:lang w:eastAsia="ja-JP"/>
    </w:rPr>
  </w:style>
  <w:style w:type="paragraph" w:styleId="55">
    <w:name w:val="List Paragraph"/>
    <w:basedOn w:val="1"/>
    <w:link w:val="92"/>
    <w:qFormat/>
    <w:uiPriority w:val="34"/>
    <w:pPr>
      <w:ind w:firstLine="420" w:firstLineChars="200"/>
    </w:pPr>
  </w:style>
  <w:style w:type="paragraph" w:customStyle="1" w:styleId="5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TF"/>
    <w:basedOn w:val="61"/>
    <w:link w:val="90"/>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61">
    <w:name w:val="TH"/>
    <w:basedOn w:val="1"/>
    <w:link w:val="84"/>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62">
    <w:name w:val="Revision"/>
    <w:semiHidden/>
    <w:qFormat/>
    <w:uiPriority w:val="99"/>
    <w:rPr>
      <w:rFonts w:ascii="Times New Roman" w:hAnsi="Times New Roman" w:eastAsia="宋体" w:cs="Times New Roman"/>
      <w:sz w:val="22"/>
      <w:szCs w:val="22"/>
      <w:lang w:val="en-US" w:eastAsia="en-US" w:bidi="ar-SA"/>
    </w:rPr>
  </w:style>
  <w:style w:type="paragraph" w:customStyle="1" w:styleId="6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4">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6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8">
    <w:name w:val="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样式 段前: 6 磅 底端: (单实线 自动设置  1.5 磅 行宽)2"/>
    <w:basedOn w:val="1"/>
    <w:qFormat/>
    <w:uiPriority w:val="0"/>
    <w:pPr>
      <w:spacing w:before="120"/>
    </w:pPr>
    <w:rPr>
      <w:rFonts w:cs="宋体"/>
      <w:szCs w:val="20"/>
    </w:rPr>
  </w:style>
  <w:style w:type="paragraph" w:customStyle="1" w:styleId="70">
    <w:name w:val="body"/>
    <w:basedOn w:val="1"/>
    <w:link w:val="81"/>
    <w:qFormat/>
    <w:uiPriority w:val="0"/>
    <w:pPr>
      <w:autoSpaceDE/>
      <w:autoSpaceDN/>
      <w:spacing w:before="120" w:after="220"/>
    </w:pPr>
    <w:rPr>
      <w:rFonts w:eastAsia="Batang"/>
      <w:snapToGrid w:val="0"/>
      <w:sz w:val="20"/>
      <w:szCs w:val="20"/>
      <w:lang w:val="en-GB" w:eastAsia="ko-KR"/>
    </w:rPr>
  </w:style>
  <w:style w:type="paragraph" w:customStyle="1" w:styleId="71">
    <w:name w:val="EX"/>
    <w:basedOn w:val="1"/>
    <w:qFormat/>
    <w:uiPriority w:val="0"/>
    <w:pPr>
      <w:keepLines/>
      <w:autoSpaceDE/>
      <w:autoSpaceDN/>
      <w:adjustRightInd/>
      <w:spacing w:after="180"/>
      <w:ind w:left="1702" w:hanging="1418"/>
      <w:jc w:val="left"/>
    </w:pPr>
    <w:rPr>
      <w:sz w:val="20"/>
      <w:szCs w:val="20"/>
    </w:rPr>
  </w:style>
  <w:style w:type="character" w:customStyle="1" w:styleId="72">
    <w:name w:val="MTEquationSection"/>
    <w:basedOn w:val="32"/>
    <w:qFormat/>
    <w:uiPriority w:val="0"/>
    <w:rPr>
      <w:b/>
      <w:vanish/>
      <w:color w:val="FF0000"/>
      <w:lang w:eastAsia="zh-CN"/>
    </w:rPr>
  </w:style>
  <w:style w:type="character" w:customStyle="1" w:styleId="73">
    <w:name w:val="Guidance Char"/>
    <w:basedOn w:val="32"/>
    <w:link w:val="53"/>
    <w:qFormat/>
    <w:uiPriority w:val="0"/>
    <w:rPr>
      <w:i/>
      <w:color w:val="0000FF"/>
      <w:lang w:val="en-GB" w:eastAsia="en-US"/>
    </w:rPr>
  </w:style>
  <w:style w:type="character" w:customStyle="1" w:styleId="74">
    <w:name w:val="文档结构图 字符"/>
    <w:basedOn w:val="32"/>
    <w:link w:val="14"/>
    <w:qFormat/>
    <w:uiPriority w:val="0"/>
    <w:rPr>
      <w:rFonts w:ascii="宋体"/>
      <w:sz w:val="18"/>
      <w:szCs w:val="18"/>
      <w:lang w:eastAsia="en-US"/>
    </w:rPr>
  </w:style>
  <w:style w:type="character" w:customStyle="1" w:styleId="75">
    <w:name w:val="B1 Char"/>
    <w:qFormat/>
    <w:uiPriority w:val="0"/>
    <w:rPr>
      <w:lang w:val="en-GB"/>
    </w:rPr>
  </w:style>
  <w:style w:type="character" w:customStyle="1" w:styleId="76">
    <w:name w:val="huawei"/>
    <w:basedOn w:val="32"/>
    <w:qFormat/>
    <w:uiPriority w:val="0"/>
  </w:style>
  <w:style w:type="character" w:customStyle="1" w:styleId="77">
    <w:name w:val="题注 字符"/>
    <w:basedOn w:val="32"/>
    <w:link w:val="11"/>
    <w:qFormat/>
    <w:uiPriority w:val="0"/>
    <w:rPr>
      <w:b/>
      <w:bCs/>
    </w:rPr>
  </w:style>
  <w:style w:type="character" w:customStyle="1" w:styleId="78">
    <w:name w:val="正文首行缩进 2 字符"/>
    <w:basedOn w:val="79"/>
    <w:link w:val="28"/>
    <w:qFormat/>
    <w:uiPriority w:val="0"/>
    <w:rPr>
      <w:sz w:val="22"/>
      <w:szCs w:val="22"/>
      <w:lang w:eastAsia="en-US"/>
    </w:rPr>
  </w:style>
  <w:style w:type="character" w:customStyle="1" w:styleId="79">
    <w:name w:val="正文文本缩进 字符"/>
    <w:basedOn w:val="32"/>
    <w:link w:val="17"/>
    <w:qFormat/>
    <w:uiPriority w:val="0"/>
    <w:rPr>
      <w:sz w:val="22"/>
      <w:szCs w:val="22"/>
      <w:lang w:eastAsia="en-US"/>
    </w:rPr>
  </w:style>
  <w:style w:type="character" w:customStyle="1" w:styleId="80">
    <w:name w:val="B1 (文字)"/>
    <w:link w:val="41"/>
    <w:qFormat/>
    <w:uiPriority w:val="0"/>
    <w:rPr>
      <w:lang w:val="en-GB" w:eastAsia="en-US"/>
    </w:rPr>
  </w:style>
  <w:style w:type="character" w:customStyle="1" w:styleId="81">
    <w:name w:val="body Char"/>
    <w:basedOn w:val="32"/>
    <w:link w:val="70"/>
    <w:qFormat/>
    <w:uiPriority w:val="0"/>
    <w:rPr>
      <w:rFonts w:eastAsia="Batang"/>
      <w:snapToGrid w:val="0"/>
      <w:lang w:val="en-GB" w:eastAsia="ko-KR"/>
    </w:rPr>
  </w:style>
  <w:style w:type="character" w:customStyle="1" w:styleId="82">
    <w:name w:val="word"/>
    <w:basedOn w:val="32"/>
    <w:qFormat/>
    <w:uiPriority w:val="0"/>
  </w:style>
  <w:style w:type="character" w:customStyle="1" w:styleId="83">
    <w:name w:val="页眉 字符"/>
    <w:basedOn w:val="32"/>
    <w:link w:val="22"/>
    <w:qFormat/>
    <w:uiPriority w:val="0"/>
    <w:rPr>
      <w:sz w:val="22"/>
      <w:szCs w:val="22"/>
    </w:rPr>
  </w:style>
  <w:style w:type="character" w:customStyle="1" w:styleId="84">
    <w:name w:val="TH Char"/>
    <w:link w:val="61"/>
    <w:qFormat/>
    <w:uiPriority w:val="0"/>
    <w:rPr>
      <w:rFonts w:ascii="Arial" w:hAnsi="Arial" w:eastAsia="Times New Roman"/>
      <w:b/>
      <w:lang w:val="en-GB" w:eastAsia="en-US"/>
    </w:rPr>
  </w:style>
  <w:style w:type="character" w:customStyle="1" w:styleId="85">
    <w:name w:val="正文文本 字符"/>
    <w:basedOn w:val="32"/>
    <w:link w:val="16"/>
    <w:qFormat/>
    <w:uiPriority w:val="0"/>
    <w:rPr>
      <w:lang w:eastAsia="en-US"/>
    </w:rPr>
  </w:style>
  <w:style w:type="character" w:customStyle="1" w:styleId="86">
    <w:name w:val="TAC Char"/>
    <w:basedOn w:val="32"/>
    <w:link w:val="52"/>
    <w:qFormat/>
    <w:uiPriority w:val="0"/>
    <w:rPr>
      <w:rFonts w:ascii="Arial" w:hAnsi="Arial" w:eastAsia="Times New Roman"/>
      <w:sz w:val="18"/>
      <w:lang w:val="en-GB" w:eastAsia="ja-JP"/>
    </w:rPr>
  </w:style>
  <w:style w:type="character" w:customStyle="1" w:styleId="87">
    <w:name w:val="页脚 字符"/>
    <w:basedOn w:val="32"/>
    <w:link w:val="21"/>
    <w:qFormat/>
    <w:uiPriority w:val="0"/>
    <w:rPr>
      <w:sz w:val="22"/>
      <w:szCs w:val="22"/>
    </w:rPr>
  </w:style>
  <w:style w:type="character" w:customStyle="1" w:styleId="88">
    <w:name w:val="MTDisplayEquation Char"/>
    <w:basedOn w:val="32"/>
    <w:link w:val="50"/>
    <w:qFormat/>
    <w:uiPriority w:val="0"/>
    <w:rPr>
      <w:sz w:val="22"/>
      <w:szCs w:val="22"/>
    </w:rPr>
  </w:style>
  <w:style w:type="character" w:customStyle="1" w:styleId="89">
    <w:name w:val="B1 Zchn"/>
    <w:qFormat/>
    <w:uiPriority w:val="0"/>
    <w:rPr>
      <w:lang w:eastAsia="en-US"/>
    </w:rPr>
  </w:style>
  <w:style w:type="character" w:customStyle="1" w:styleId="90">
    <w:name w:val="TF Char"/>
    <w:link w:val="60"/>
    <w:qFormat/>
    <w:uiPriority w:val="0"/>
    <w:rPr>
      <w:rFonts w:ascii="Arial" w:hAnsi="Arial"/>
      <w:b/>
      <w:lang w:val="zh-CN" w:eastAsia="zh-CN"/>
    </w:rPr>
  </w:style>
  <w:style w:type="character" w:styleId="91">
    <w:name w:val="Placeholder Text"/>
    <w:basedOn w:val="32"/>
    <w:semiHidden/>
    <w:qFormat/>
    <w:uiPriority w:val="99"/>
    <w:rPr>
      <w:color w:val="808080"/>
    </w:rPr>
  </w:style>
  <w:style w:type="character" w:customStyle="1" w:styleId="92">
    <w:name w:val="列出段落 字符"/>
    <w:link w:val="55"/>
    <w:qFormat/>
    <w:uiPriority w:val="34"/>
    <w:rPr>
      <w:sz w:val="22"/>
      <w:szCs w:val="22"/>
      <w:lang w:eastAsia="en-US"/>
    </w:rPr>
  </w:style>
  <w:style w:type="character" w:customStyle="1" w:styleId="93">
    <w:name w:val="标题 3 字符"/>
    <w:basedOn w:val="32"/>
    <w:link w:val="4"/>
    <w:qFormat/>
    <w:uiPriority w:val="0"/>
    <w:rPr>
      <w:b/>
      <w:sz w:val="22"/>
      <w:szCs w:val="22"/>
      <w:lang w:val="en-GB" w:eastAsia="en-US"/>
    </w:rPr>
  </w:style>
  <w:style w:type="character" w:customStyle="1" w:styleId="94">
    <w:name w:val="批注文字 字符"/>
    <w:basedOn w:val="32"/>
    <w:link w:val="15"/>
    <w:qFormat/>
    <w:uiPriority w:val="0"/>
    <w:rPr>
      <w:lang w:eastAsia="en-US"/>
    </w:rPr>
  </w:style>
  <w:style w:type="character" w:customStyle="1" w:styleId="95">
    <w:name w:val="apple-converted-space"/>
    <w:basedOn w:val="32"/>
    <w:qFormat/>
    <w:uiPriority w:val="0"/>
  </w:style>
  <w:style w:type="character" w:customStyle="1" w:styleId="96">
    <w:name w:val="TAH Car"/>
    <w:link w:val="51"/>
    <w:qFormat/>
    <w:uiPriority w:val="0"/>
    <w:rPr>
      <w:rFonts w:ascii="Arial" w:hAnsi="Arial" w:eastAsia="Malgun Gothic"/>
      <w:b/>
      <w:color w:val="000000"/>
      <w:sz w:val="18"/>
      <w:lang w:val="en-GB" w:eastAsia="ja-JP"/>
    </w:rPr>
  </w:style>
  <w:style w:type="character" w:customStyle="1" w:styleId="97">
    <w:name w:val="B1 Char1"/>
    <w:qFormat/>
    <w:uiPriority w:val="0"/>
    <w:rPr>
      <w:lang w:val="en-GB" w:eastAsia="en-US"/>
    </w:rPr>
  </w:style>
  <w:style w:type="character" w:customStyle="1" w:styleId="98">
    <w:name w:val="批注主题 字符"/>
    <w:basedOn w:val="94"/>
    <w:link w:val="27"/>
    <w:qFormat/>
    <w:uiPriority w:val="0"/>
    <w:rPr>
      <w:b/>
      <w:bCs/>
      <w:lang w:eastAsia="en-US"/>
    </w:rPr>
  </w:style>
  <w:style w:type="character" w:customStyle="1" w:styleId="99">
    <w:name w:val="标题 1 字符"/>
    <w:basedOn w:val="32"/>
    <w:link w:val="2"/>
    <w:qFormat/>
    <w:uiPriority w:val="0"/>
    <w:rPr>
      <w:b/>
      <w:bCs/>
      <w:sz w:val="28"/>
      <w:szCs w:val="28"/>
      <w:lang w:eastAsia="en-US"/>
    </w:rPr>
  </w:style>
  <w:style w:type="table" w:customStyle="1" w:styleId="100">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102">
    <w:name w:val="0 Main text"/>
    <w:basedOn w:val="1"/>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103">
    <w:name w:val="3GPP Normal Text"/>
    <w:basedOn w:val="16"/>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5</Pages>
  <Words>2380</Words>
  <Characters>12436</Characters>
  <Lines>65</Lines>
  <Paragraphs>18</Paragraphs>
  <TotalTime>0</TotalTime>
  <ScaleCrop>false</ScaleCrop>
  <LinksUpToDate>false</LinksUpToDate>
  <CharactersWithSpaces>14701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 Shen</cp:lastModifiedBy>
  <cp:lastPrinted>2015-03-27T14:25:00Z</cp:lastPrinted>
  <dcterms:modified xsi:type="dcterms:W3CDTF">2024-05-10T07:53:57Z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